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6DD136">
      <w:pPr>
        <w:keepNext w:val="0"/>
        <w:keepLines w:val="0"/>
        <w:pageBreakBefore w:val="0"/>
        <w:widowControl w:val="0"/>
        <w:kinsoku/>
        <w:wordWrap w:val="0"/>
        <w:overflowPunct/>
        <w:topLinePunct w:val="0"/>
        <w:autoSpaceDE/>
        <w:autoSpaceDN/>
        <w:bidi w:val="0"/>
        <w:adjustRightInd w:val="0"/>
        <w:snapToGrid w:val="0"/>
        <w:spacing w:line="560" w:lineRule="exact"/>
        <w:jc w:val="both"/>
        <w:textAlignment w:val="auto"/>
        <w:rPr>
          <w:rFonts w:hint="default" w:ascii="Times New Roman" w:hAnsi="Times New Roman" w:eastAsia="仿宋_GB2312" w:cs="Times New Roman"/>
          <w:b w:val="0"/>
          <w:bCs/>
          <w:kern w:val="2"/>
          <w:sz w:val="32"/>
          <w:szCs w:val="32"/>
          <w:highlight w:val="none"/>
          <w:lang w:val="en-US" w:eastAsia="zh-CN"/>
        </w:rPr>
      </w:pPr>
      <w:r>
        <w:rPr>
          <w:rFonts w:hint="default" w:ascii="Times New Roman" w:hAnsi="Times New Roman" w:eastAsia="仿宋_GB2312" w:cs="Times New Roman"/>
          <w:b w:val="0"/>
          <w:bCs/>
          <w:kern w:val="2"/>
          <w:sz w:val="32"/>
          <w:szCs w:val="32"/>
          <w:highlight w:val="none"/>
          <w:lang w:val="en-US" w:eastAsia="zh-CN"/>
        </w:rPr>
        <w:t>附件</w:t>
      </w:r>
      <w:r>
        <w:rPr>
          <w:rFonts w:hint="eastAsia" w:eastAsia="仿宋_GB2312" w:cs="Times New Roman"/>
          <w:b w:val="0"/>
          <w:bCs/>
          <w:kern w:val="2"/>
          <w:sz w:val="32"/>
          <w:szCs w:val="32"/>
          <w:highlight w:val="none"/>
          <w:lang w:val="en-US" w:eastAsia="zh-CN"/>
        </w:rPr>
        <w:t>2-1</w:t>
      </w:r>
      <w:r>
        <w:rPr>
          <w:rFonts w:hint="default" w:ascii="Times New Roman" w:hAnsi="Times New Roman" w:eastAsia="仿宋_GB2312" w:cs="Times New Roman"/>
          <w:b w:val="0"/>
          <w:bCs/>
          <w:kern w:val="2"/>
          <w:sz w:val="32"/>
          <w:szCs w:val="32"/>
          <w:highlight w:val="none"/>
          <w:lang w:val="en-US" w:eastAsia="zh-CN"/>
        </w:rPr>
        <w:t>：</w:t>
      </w:r>
    </w:p>
    <w:p w14:paraId="3BC7FB12">
      <w:pPr>
        <w:keepNext w:val="0"/>
        <w:keepLines w:val="0"/>
        <w:pageBreakBefore w:val="0"/>
        <w:widowControl w:val="0"/>
        <w:kinsoku/>
        <w:wordWrap w:val="0"/>
        <w:overflowPunct/>
        <w:topLinePunct w:val="0"/>
        <w:autoSpaceDE/>
        <w:autoSpaceDN/>
        <w:bidi w:val="0"/>
        <w:adjustRightInd w:val="0"/>
        <w:snapToGrid w:val="0"/>
        <w:spacing w:line="560" w:lineRule="exact"/>
        <w:jc w:val="both"/>
        <w:textAlignment w:val="auto"/>
        <w:rPr>
          <w:rFonts w:hint="default" w:ascii="Times New Roman" w:hAnsi="Times New Roman" w:eastAsia="仿宋_GB2312" w:cs="Times New Roman"/>
          <w:b w:val="0"/>
          <w:bCs/>
          <w:kern w:val="2"/>
          <w:sz w:val="32"/>
          <w:szCs w:val="32"/>
          <w:highlight w:val="none"/>
          <w:lang w:val="en-US" w:eastAsia="zh-CN"/>
        </w:rPr>
      </w:pPr>
    </w:p>
    <w:p w14:paraId="32548816">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189E65B">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ascii="Times New Roman" w:hAnsi="Times New Roman" w:eastAsia="宋体" w:cs="Times New Roman"/>
          <w:b w:val="0"/>
          <w:bCs/>
          <w:kern w:val="2"/>
          <w:sz w:val="21"/>
          <w:lang w:val="en-US"/>
        </w:rPr>
      </w:pPr>
      <w:r>
        <w:rPr>
          <w:rFonts w:hint="default" w:ascii="Times New Roman" w:hAnsi="Times New Roman" w:eastAsia="方正小标宋简体" w:cs="Times New Roman"/>
          <w:b w:val="0"/>
          <w:bCs/>
          <w:kern w:val="2"/>
          <w:sz w:val="44"/>
          <w:szCs w:val="32"/>
          <w:highlight w:val="none"/>
          <w:lang w:val="en-US" w:eastAsia="zh-CN"/>
        </w:rPr>
        <w:t>项目需求榜单</w:t>
      </w:r>
    </w:p>
    <w:p w14:paraId="069755BC">
      <w:pPr>
        <w:keepNext w:val="0"/>
        <w:keepLines w:val="0"/>
        <w:pageBreakBefore w:val="0"/>
        <w:widowControl w:val="0"/>
        <w:kinsoku/>
        <w:wordWrap w:val="0"/>
        <w:topLinePunct w:val="0"/>
        <w:autoSpaceDE/>
        <w:autoSpaceDN/>
        <w:bidi w:val="0"/>
        <w:adjustRightInd/>
        <w:snapToGrid/>
        <w:jc w:val="both"/>
        <w:rPr>
          <w:rFonts w:ascii="Times New Roman" w:hAnsi="Times New Roman" w:eastAsia="宋体" w:cs="Times New Roman"/>
          <w:b w:val="0"/>
          <w:bCs/>
          <w:kern w:val="2"/>
          <w:sz w:val="21"/>
          <w:lang w:val="en-US"/>
        </w:rPr>
      </w:pPr>
    </w:p>
    <w:tbl>
      <w:tblPr>
        <w:tblStyle w:val="11"/>
        <w:tblW w:w="499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3921"/>
        <w:gridCol w:w="3730"/>
      </w:tblGrid>
      <w:tr w14:paraId="64B74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21E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黑体" w:cs="Times New Roman"/>
                <w:i w:val="0"/>
                <w:iCs w:val="0"/>
                <w:color w:val="000000"/>
                <w:sz w:val="28"/>
                <w:szCs w:val="28"/>
                <w:u w:val="none"/>
              </w:rPr>
            </w:pPr>
            <w:r>
              <w:rPr>
                <w:rFonts w:hint="default" w:ascii="Times New Roman" w:hAnsi="Times New Roman" w:eastAsia="黑体" w:cs="Times New Roman"/>
                <w:i w:val="0"/>
                <w:iCs w:val="0"/>
                <w:color w:val="000000"/>
                <w:kern w:val="0"/>
                <w:sz w:val="28"/>
                <w:szCs w:val="28"/>
                <w:u w:val="none"/>
                <w:lang w:val="en-US" w:eastAsia="zh-CN" w:bidi="ar"/>
              </w:rPr>
              <w:t>序号</w:t>
            </w:r>
          </w:p>
        </w:tc>
        <w:tc>
          <w:tcPr>
            <w:tcW w:w="23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82D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榜题</w:t>
            </w:r>
          </w:p>
        </w:tc>
        <w:tc>
          <w:tcPr>
            <w:tcW w:w="21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4C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黑体" w:hAnsi="黑体" w:eastAsia="黑体" w:cs="黑体"/>
                <w:i w:val="0"/>
                <w:iCs w:val="0"/>
                <w:color w:val="000000"/>
                <w:sz w:val="28"/>
                <w:szCs w:val="28"/>
                <w:u w:val="none"/>
              </w:rPr>
            </w:pPr>
            <w:r>
              <w:rPr>
                <w:rFonts w:hint="eastAsia" w:ascii="黑体" w:hAnsi="黑体" w:eastAsia="黑体" w:cs="黑体"/>
                <w:i w:val="0"/>
                <w:iCs w:val="0"/>
                <w:color w:val="000000"/>
                <w:kern w:val="0"/>
                <w:sz w:val="28"/>
                <w:szCs w:val="28"/>
                <w:u w:val="none"/>
                <w:lang w:val="en-US" w:eastAsia="zh-CN" w:bidi="ar"/>
              </w:rPr>
              <w:t>发榜单位</w:t>
            </w:r>
          </w:p>
        </w:tc>
      </w:tr>
      <w:tr w14:paraId="5314D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F1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2F6F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类地行星感应磁层的离子动力学特性研究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D6C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应急管理部国家自然灾害防治</w:t>
            </w:r>
          </w:p>
          <w:p w14:paraId="378313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研究院</w:t>
            </w:r>
          </w:p>
        </w:tc>
      </w:tr>
      <w:tr w14:paraId="12F6E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5E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rPr>
            </w:pPr>
            <w:r>
              <w:rPr>
                <w:rFonts w:hint="default" w:ascii="Times New Roman" w:hAnsi="Times New Roman" w:eastAsia="仿宋_GB2312" w:cs="Times New Roman"/>
                <w:i w:val="0"/>
                <w:iCs w:val="0"/>
                <w:color w:val="000000"/>
                <w:kern w:val="0"/>
                <w:sz w:val="24"/>
                <w:szCs w:val="24"/>
                <w:u w:val="none"/>
                <w:lang w:val="en-US" w:eastAsia="zh-CN" w:bidi="ar"/>
              </w:rPr>
              <w:t>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C3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跑鞋缓震性能的主客观映射模型构建及量化评价方法研究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604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李宁（中国）体育用品有限公司</w:t>
            </w:r>
          </w:p>
        </w:tc>
      </w:tr>
      <w:tr w14:paraId="5138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F2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3</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5F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基于多模态情感行为计算的自闭症谱系障碍（ASD）儿童社交技能个性化干预系统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33C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朝阳区爱心语润智力残疾人</w:t>
            </w:r>
          </w:p>
          <w:p w14:paraId="55EE99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康复服务中心</w:t>
            </w:r>
          </w:p>
        </w:tc>
      </w:tr>
      <w:tr w14:paraId="167ED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743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4</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38D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w w:val="95"/>
                <w:kern w:val="0"/>
                <w:sz w:val="24"/>
                <w:szCs w:val="24"/>
                <w:highlight w:val="none"/>
                <w:u w:val="none"/>
                <w:lang w:val="en-US" w:eastAsia="zh-CN" w:bidi="ar"/>
              </w:rPr>
              <w:t>新型模块化线控底盘架构设计与应用</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C6F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北汽福田汽车股份有限公司</w:t>
            </w:r>
          </w:p>
        </w:tc>
      </w:tr>
      <w:tr w14:paraId="2270F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95B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5</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AD2E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面向城市复杂交通场景的智能网联汽车应用创新方案设计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50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w w:val="96"/>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北京汽车研究总院有限公司</w:t>
            </w:r>
          </w:p>
        </w:tc>
      </w:tr>
      <w:tr w14:paraId="30B75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D75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6</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0290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面向智能网联汽车运行行为数据监测的大模型技术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4E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北京汽车研究总院有限公司</w:t>
            </w:r>
          </w:p>
        </w:tc>
      </w:tr>
      <w:tr w14:paraId="24CB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9D8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7</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099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警擎：大模型推理增强的智慧警务系统研究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C31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中国移动通信集团北京有限公司</w:t>
            </w:r>
          </w:p>
        </w:tc>
      </w:tr>
      <w:tr w14:paraId="639D2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F69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8</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698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面向应急通信的具身智能无人机通信组网技术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FE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中国电子科技集团公司信息科学研究院</w:t>
            </w:r>
          </w:p>
        </w:tc>
      </w:tr>
      <w:tr w14:paraId="26522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BA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9</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1DC4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基于天基图像与众源数据的细粒度目标认知增强技术</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45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中国电子科技集团公司信息科学研究院</w:t>
            </w:r>
          </w:p>
        </w:tc>
      </w:tr>
      <w:tr w14:paraId="62FF6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CB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10</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BEF6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基于作业人员认知及行为融合的交互意图预测及智能推理模型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AC7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中国船舶集团有限公司</w:t>
            </w:r>
          </w:p>
          <w:p w14:paraId="6D2099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综合技术经济研究院</w:t>
            </w:r>
          </w:p>
        </w:tc>
      </w:tr>
      <w:tr w14:paraId="78173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F9D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883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w w:val="95"/>
                <w:kern w:val="0"/>
                <w:sz w:val="24"/>
                <w:szCs w:val="24"/>
                <w:u w:val="none"/>
                <w:lang w:val="en-US" w:eastAsia="zh-CN" w:bidi="ar"/>
              </w:rPr>
              <w:t>主食产品血糖调控健康解决方案：全谷物与植物蛋白协同技术及产品开发</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A93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中粮营养健康研究院有限公司</w:t>
            </w:r>
          </w:p>
        </w:tc>
      </w:tr>
      <w:tr w14:paraId="60EC4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234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A08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基于多模态大模型的工程数字图纸智能管理系统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397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北京航天斯达科技有限公司</w:t>
            </w:r>
          </w:p>
        </w:tc>
      </w:tr>
      <w:tr w14:paraId="4CAE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B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13</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B2A6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面向我国边疆地区的国产商业卫星遥感智能解译基础模型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E4D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北京航天世景信息技术有限公司</w:t>
            </w:r>
          </w:p>
        </w:tc>
      </w:tr>
      <w:tr w14:paraId="38CC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F7F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14</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2767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多尺度地貌监测系统设计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57C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北京国天事业气象科技有限公司</w:t>
            </w:r>
          </w:p>
        </w:tc>
      </w:tr>
      <w:tr w14:paraId="1A32D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AA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15</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792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基于AI图像识别的整车物流装载合规性智能检测解决方案</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DA8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中都数科供应链管理有限公司</w:t>
            </w:r>
          </w:p>
        </w:tc>
      </w:tr>
      <w:tr w14:paraId="7CB6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DC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highlight w:val="none"/>
                <w:u w:val="none"/>
                <w:lang w:val="en-US" w:eastAsia="zh-CN"/>
              </w:rPr>
            </w:pPr>
            <w:r>
              <w:rPr>
                <w:rFonts w:hint="eastAsia" w:eastAsia="仿宋_GB2312" w:cs="Times New Roman"/>
                <w:i w:val="0"/>
                <w:iCs w:val="0"/>
                <w:color w:val="000000"/>
                <w:sz w:val="24"/>
                <w:szCs w:val="24"/>
                <w:highlight w:val="none"/>
                <w:u w:val="none"/>
                <w:lang w:val="en-US" w:eastAsia="zh-CN"/>
              </w:rPr>
              <w:t>16</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35A5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大模型驱动的无线网络覆盖预测</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A70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中讯邮电咨询设计院有限公司</w:t>
            </w:r>
          </w:p>
        </w:tc>
      </w:tr>
      <w:tr w14:paraId="6997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04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17</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66E2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智能化医疗影像解析系统设计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861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北京美联同创医学检验实验室</w:t>
            </w:r>
          </w:p>
          <w:p w14:paraId="5D55DD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有限公司</w:t>
            </w:r>
          </w:p>
        </w:tc>
      </w:tr>
      <w:tr w14:paraId="11CB8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F9E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18</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19E2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面向无人驾驶的交警手势识别系统</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46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北京洛必德科技有限公司</w:t>
            </w:r>
          </w:p>
        </w:tc>
      </w:tr>
      <w:tr w14:paraId="1118C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1F9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19</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6A5C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“稳链护航”提升聚烯烃产业链韧性的金融创新解决方案</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383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四联创业集团股份有限公司</w:t>
            </w:r>
          </w:p>
        </w:tc>
      </w:tr>
      <w:tr w14:paraId="3C266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0CE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20</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BEC0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高校-央企-地方政府三方协同创新推动科技成果转化的机制构建与路径研究</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74F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未来科学城管理委员会</w:t>
            </w:r>
          </w:p>
        </w:tc>
      </w:tr>
      <w:tr w14:paraId="75E3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0BB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21</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FED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智能化电网故障检测系统设计</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D1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昌平区发明协会</w:t>
            </w:r>
          </w:p>
        </w:tc>
      </w:tr>
      <w:tr w14:paraId="154F4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0" w:hRule="atLeast"/>
        </w:trPr>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83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仿宋_GB2312" w:cs="Times New Roman"/>
                <w:i w:val="0"/>
                <w:iCs w:val="0"/>
                <w:color w:val="000000"/>
                <w:sz w:val="24"/>
                <w:szCs w:val="24"/>
                <w:u w:val="none"/>
                <w:lang w:val="en-US" w:eastAsia="zh-CN"/>
              </w:rPr>
            </w:pPr>
            <w:r>
              <w:rPr>
                <w:rFonts w:hint="eastAsia" w:eastAsia="仿宋_GB2312" w:cs="Times New Roman"/>
                <w:i w:val="0"/>
                <w:iCs w:val="0"/>
                <w:color w:val="000000"/>
                <w:sz w:val="24"/>
                <w:szCs w:val="24"/>
                <w:u w:val="none"/>
                <w:lang w:val="en-US" w:eastAsia="zh-CN"/>
              </w:rPr>
              <w:t>22</w:t>
            </w:r>
          </w:p>
        </w:tc>
        <w:tc>
          <w:tcPr>
            <w:tcW w:w="2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8A23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人工智能OPC新青年</w:t>
            </w:r>
            <w:r>
              <w:rPr>
                <w:rFonts w:ascii="MS Gothic" w:hAnsi="MS Gothic" w:eastAsia="MS Gothic" w:cs="MS Gothic"/>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青年飞谷项目</w:t>
            </w:r>
          </w:p>
        </w:tc>
        <w:tc>
          <w:tcPr>
            <w:tcW w:w="2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2DD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共青团北京市平谷区委员会</w:t>
            </w:r>
          </w:p>
          <w:p w14:paraId="65070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钨丝邦（北京）科技服务有限公司</w:t>
            </w:r>
          </w:p>
        </w:tc>
      </w:tr>
    </w:tbl>
    <w:p w14:paraId="4BB36108">
      <w:pPr>
        <w:keepNext w:val="0"/>
        <w:keepLines w:val="0"/>
        <w:pageBreakBefore w:val="0"/>
        <w:widowControl w:val="0"/>
        <w:kinsoku/>
        <w:wordWrap w:val="0"/>
        <w:topLinePunct w:val="0"/>
        <w:autoSpaceDE/>
        <w:autoSpaceDN/>
        <w:bidi w:val="0"/>
        <w:adjustRightInd/>
        <w:snapToGrid/>
        <w:rPr>
          <w:rFonts w:hint="eastAsia" w:eastAsia="仿宋_GB2312"/>
          <w:lang w:val="en-US"/>
        </w:rPr>
      </w:pPr>
      <w:r>
        <w:rPr>
          <w:rFonts w:hint="eastAsia" w:ascii="仿宋_GB2312" w:hAnsi="Times New Roman" w:eastAsia="仿宋_GB2312" w:cs="Times New Roman"/>
          <w:bCs/>
          <w:color w:val="auto"/>
          <w:sz w:val="32"/>
          <w:szCs w:val="32"/>
          <w:lang w:val="en-US"/>
        </w:rPr>
        <w:br w:type="page"/>
      </w:r>
    </w:p>
    <w:p w14:paraId="7BBFDB19">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“青智未来”新质生产力专项赛</w:t>
      </w:r>
    </w:p>
    <w:p w14:paraId="265DF2F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—01</w:t>
      </w:r>
    </w:p>
    <w:p w14:paraId="19C369B2">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77DBE02">
      <w:pPr>
        <w:keepNext w:val="0"/>
        <w:keepLines w:val="0"/>
        <w:pageBreakBefore w:val="0"/>
        <w:widowControl w:val="0"/>
        <w:tabs>
          <w:tab w:val="left" w:pos="8640"/>
        </w:tabs>
        <w:kinsoku/>
        <w:wordWrap w:val="0"/>
        <w:topLinePunct w:val="0"/>
        <w:autoSpaceDE/>
        <w:autoSpaceDN/>
        <w:bidi w:val="0"/>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728E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3E2FC4">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959EC9A">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应急管理部国家自然灾害防治研究院</w:t>
            </w:r>
          </w:p>
        </w:tc>
      </w:tr>
      <w:tr w14:paraId="5734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72B8B09">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698B19F">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科研机构</w:t>
            </w:r>
          </w:p>
        </w:tc>
      </w:tr>
      <w:tr w14:paraId="4B66D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1F5DC14">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4782BBA4">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北京市海淀区安宁庄路1号</w:t>
            </w:r>
          </w:p>
        </w:tc>
      </w:tr>
      <w:tr w14:paraId="1F2A3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5CCF71">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73E5DDA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应急管理部国家自然灾害防治研究院（以下简称“国家灾研院”）是按照《中央编办关于更名组建应急部国家自然灾害防治研究院的批复》（中央编办复字〔2019〕158号），由中国地震局地壳应力研究所划入应急管理部更名组建而成，为应急管理部与中国科学院联合共建的国家级自然灾害综合性防治科研机构和应急管理科技创新、技术支撑平台，公益二类科研事业单位，2019年12月30日正式挂牌，主要承担自然灾害防治重大政策、基础理论、关键技术、重要装备研究，以及科技成果转化和应用示范等工作。国家灾研院面向国际防灾减灾救灾科技前沿，面向国家自然灾害防治重大战略部署，立足我国自然灾害综合减灾实战需求，打造国内一流、国际先进的自然灾害防治科研平台。</w:t>
            </w:r>
          </w:p>
          <w:p w14:paraId="41BBCEB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灾研院是我国地球物理场卫星首发星张衡一号卫星的主用户，负责应用系统建设工作，目前拥有张衡一号01星、02星两颗在轨卫星，在电磁卫星数据定标校验、质量评估及多领域科学应用方面有深厚的技术积累和丰富的实践经验。</w:t>
            </w:r>
          </w:p>
        </w:tc>
      </w:tr>
      <w:tr w14:paraId="79EF3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17FBB7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联系人</w:t>
            </w:r>
          </w:p>
        </w:tc>
        <w:tc>
          <w:tcPr>
            <w:tcW w:w="3076" w:type="dxa"/>
            <w:vAlign w:val="center"/>
          </w:tcPr>
          <w:p w14:paraId="32C78E66">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泽仁志玛</w:t>
            </w:r>
          </w:p>
        </w:tc>
        <w:tc>
          <w:tcPr>
            <w:tcW w:w="1073" w:type="dxa"/>
            <w:vAlign w:val="center"/>
          </w:tcPr>
          <w:p w14:paraId="4AED57BF">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职务</w:t>
            </w:r>
          </w:p>
        </w:tc>
        <w:tc>
          <w:tcPr>
            <w:tcW w:w="2783" w:type="dxa"/>
            <w:vAlign w:val="center"/>
          </w:tcPr>
          <w:p w14:paraId="47F95E0E">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空间信息研究中心主任/张衡一号卫星首席科学家</w:t>
            </w:r>
          </w:p>
        </w:tc>
      </w:tr>
      <w:tr w14:paraId="2EC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9E5DA0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联系方式</w:t>
            </w:r>
          </w:p>
        </w:tc>
        <w:tc>
          <w:tcPr>
            <w:tcW w:w="3076" w:type="dxa"/>
            <w:vAlign w:val="center"/>
          </w:tcPr>
          <w:p w14:paraId="5A59EC84">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13683548046</w:t>
            </w:r>
          </w:p>
        </w:tc>
        <w:tc>
          <w:tcPr>
            <w:tcW w:w="1073" w:type="dxa"/>
            <w:vAlign w:val="center"/>
          </w:tcPr>
          <w:p w14:paraId="6C9B004D">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微信</w:t>
            </w:r>
          </w:p>
        </w:tc>
        <w:tc>
          <w:tcPr>
            <w:tcW w:w="2783" w:type="dxa"/>
            <w:vAlign w:val="center"/>
          </w:tcPr>
          <w:p w14:paraId="659D8CCE">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13683548046</w:t>
            </w:r>
          </w:p>
        </w:tc>
      </w:tr>
    </w:tbl>
    <w:p w14:paraId="5B8494DA">
      <w:pPr>
        <w:keepNext w:val="0"/>
        <w:keepLines w:val="0"/>
        <w:pageBreakBefore w:val="0"/>
        <w:widowControl w:val="0"/>
        <w:tabs>
          <w:tab w:val="left" w:pos="8640"/>
        </w:tabs>
        <w:kinsoku/>
        <w:wordWrap w:val="0"/>
        <w:topLinePunct w:val="0"/>
        <w:autoSpaceDE/>
        <w:autoSpaceDN/>
        <w:bidi w:val="0"/>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C56C4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9E8CAE">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E7E3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类地行星感应磁层的离子动力学特性研究</w:t>
            </w:r>
          </w:p>
        </w:tc>
      </w:tr>
      <w:tr w14:paraId="79E6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42"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2DE95">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0421DD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空间科学</w:t>
            </w:r>
          </w:p>
        </w:tc>
      </w:tr>
      <w:tr w14:paraId="2C5E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11D7F8">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80B89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类地行星空间结构的形成机制及其在不同外部驱动条件（如太阳风参数、行星际磁场方向与强度、太阳活动周期等）下的演化特性，是当前行星空间物理领域的重要科学问题。深入理解这些结构的形成与演化过程，不仅有助于揭示地球空间环境的宜居性根源，也为比较行星学提供了关键理论支撑。地球拥有全球性的内禀磁场，在其磁层中形成了复杂的磁场-等离子体相互作用结构；而类地行星（火星和金星）则缺乏全球性磁场，其空间结构主要由太阳风与大气或电离层直接作用形成，体现出显著不同的磁层类型和粒子动力学特征。存在的科学问题包括：</w:t>
            </w:r>
          </w:p>
          <w:p w14:paraId="28377C5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1.缺乏全球性内禀磁场的类地行星中，感应磁层结构的形成与演化是否具有可比性？</w:t>
            </w:r>
          </w:p>
          <w:p w14:paraId="73A8C6A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2.在离子动力学尺度下，类地行星磁层结构对粒子加速、输运与逃逸过程的影响机制是什么？</w:t>
            </w:r>
          </w:p>
          <w:p w14:paraId="6824EA8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3.在不同太阳风驱动条件下是否类地行星的磁层结构呈现出共性的演化响应规律？</w:t>
            </w:r>
          </w:p>
          <w:p w14:paraId="2449BE1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因此，通过解答上述科研问题，系统地研究类地行星磁感应磁层中离子动力学效应，将有助于揭示类地行星在缺乏内禀磁场条件下的共性物理机制，为理解地球的独特性与宜居性提供参考。</w:t>
            </w:r>
          </w:p>
          <w:p w14:paraId="3763F35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tc>
      </w:tr>
      <w:tr w14:paraId="49346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AAB934D">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7FE32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形式：一篇解决上述科研问题的科研论文</w:t>
            </w:r>
          </w:p>
          <w:p w14:paraId="2FFE88C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时间：2026年2月1日-5月30日前（在线发表即可）</w:t>
            </w:r>
          </w:p>
          <w:p w14:paraId="61A4BE0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要求：参赛选手必须是论文的第一作者</w:t>
            </w:r>
          </w:p>
          <w:p w14:paraId="2ADF585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评审标准：以论文发表的SCI期刊为主（分区+影响因子）</w:t>
            </w:r>
          </w:p>
        </w:tc>
      </w:tr>
      <w:tr w14:paraId="668BE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214"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85FAB">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作品评审</w:t>
            </w:r>
          </w:p>
          <w:p w14:paraId="3D26BF61">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CA00D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第一维度：成果发表状态</w:t>
            </w:r>
          </w:p>
          <w:p w14:paraId="66F7F3D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1.已发表论文：在截止日期前已在线发表或正式见刊的论文。此为最完备状态，将进入核心期刊指标评审。</w:t>
            </w:r>
          </w:p>
          <w:p w14:paraId="636F5C7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2.已录用待发表论文：需提供期刊官方录用通知及清样稿。此状态可获得基础评价，但竞争力通常低于同级别已发表论文。</w:t>
            </w:r>
          </w:p>
          <w:p w14:paraId="423A3B5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3.其他状态（如审稿中、拟投稿）：因无法进行有效比对和核实，原则上不纳入评奖范围。</w:t>
            </w:r>
          </w:p>
          <w:p w14:paraId="4F03156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4457FA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第二维度：期刊学术水平（针对已发表/录用论文）</w:t>
            </w:r>
          </w:p>
          <w:p w14:paraId="45A9929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以论文所发表期刊的客观指标为核心评判标准，主要考察：</w:t>
            </w:r>
          </w:p>
          <w:p w14:paraId="71EADFAA">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1.期刊分区：优先采用中国科学院文献情报中心期刊分区表（大类或小类），或JCR分区。</w:t>
            </w:r>
          </w:p>
          <w:p w14:paraId="5A936163">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2.期刊影响因子：采用最新发布的期刊影响因子（JCR IF）。</w:t>
            </w:r>
          </w:p>
          <w:p w14:paraId="33399B0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（评审委员会将综合以上指标，通常认为发表在高分区、高影响因子期刊上的论文代表更高的学术认可度。）</w:t>
            </w:r>
          </w:p>
        </w:tc>
      </w:tr>
      <w:tr w14:paraId="6BA62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11F6D0">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C2A7E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无</w:t>
            </w:r>
          </w:p>
        </w:tc>
      </w:tr>
    </w:tbl>
    <w:p w14:paraId="2B6F301B">
      <w:pPr>
        <w:rPr>
          <w:rFonts w:eastAsia="方正黑体简体"/>
          <w:sz w:val="32"/>
          <w:szCs w:val="32"/>
        </w:rPr>
      </w:pPr>
      <w:r>
        <w:rPr>
          <w:rFonts w:hint="eastAsia" w:eastAsia="方正黑体简体"/>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0D69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A7EC67">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20525D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为助力参赛团队产出高水平成果，本单位将构建“导师-资源-平台”三位一体的支持体系，具体保障如下：</w:t>
            </w:r>
          </w:p>
          <w:p w14:paraId="0D7C560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69AD31F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一、专业指导团队</w:t>
            </w:r>
          </w:p>
          <w:p w14:paraId="21DB2E7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专属指导老师：为每个团队配备1名具有丰富科研经验的资深研究员作为固定导师，提供从选题到投稿的全流程个性化指导。</w:t>
            </w:r>
          </w:p>
          <w:p w14:paraId="7093490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定期组会制度：导师将每周至少组织1次团队例会，跟踪研究进展，研讨关键问题，并提供持续的专业反馈。</w:t>
            </w:r>
          </w:p>
          <w:p w14:paraId="5D646BC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3EA64DC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二、科研资源支持</w:t>
            </w:r>
          </w:p>
          <w:p w14:paraId="2A8587C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资料与数据支持：开放本单位相关领域的历史项目资料库、学术文献数据库及脱敏研究数据，供团队快速切入课题。</w:t>
            </w:r>
          </w:p>
          <w:p w14:paraId="5FB7B0A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论文写作专项辅导：组织举办“科技论文写作与投稿”工作坊，并针对团队初稿提供多轮润色与期刊选择建议。</w:t>
            </w:r>
          </w:p>
          <w:p w14:paraId="7B580B2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p w14:paraId="2221B77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三、时间与制度保障</w:t>
            </w:r>
          </w:p>
          <w:p w14:paraId="43123D8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落实时间：上述支持将于团队组建完成后立即启动，并持续至竞赛周期结束。</w:t>
            </w:r>
          </w:p>
          <w:p w14:paraId="1217676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保障措施：指导工作计入导师年度绩效考核；资源使用建立绿色审批通道；定期收集团队反馈以优化支持方案。</w:t>
            </w:r>
          </w:p>
        </w:tc>
      </w:tr>
      <w:tr w14:paraId="48F84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DADE1E8">
            <w:pPr>
              <w:keepNext w:val="0"/>
              <w:keepLines w:val="0"/>
              <w:pageBreakBefore w:val="0"/>
              <w:widowControl w:val="0"/>
              <w:kinsoku/>
              <w:wordWrap w:val="0"/>
              <w:topLinePunct w:val="0"/>
              <w:autoSpaceDE/>
              <w:autoSpaceDN/>
              <w:bidi w:val="0"/>
              <w:adjustRightInd w:val="0"/>
              <w:snapToGrid/>
              <w:spacing w:line="560" w:lineRule="exact"/>
              <w:jc w:val="center"/>
              <w:rPr>
                <w:rFonts w:hint="eastAsia" w:ascii="楷体_GB2312" w:hAnsi="楷体_GB2312" w:eastAsia="楷体_GB2312" w:cs="楷体_GB2312"/>
                <w:color w:val="auto"/>
                <w:sz w:val="28"/>
                <w:szCs w:val="32"/>
                <w:lang w:val="en-US"/>
              </w:rPr>
            </w:pPr>
            <w:r>
              <w:rPr>
                <w:rFonts w:hint="eastAsia" w:ascii="楷体_GB2312" w:hAnsi="楷体_GB2312" w:eastAsia="楷体_GB2312" w:cs="楷体_GB2312"/>
                <w:color w:val="auto"/>
                <w:sz w:val="28"/>
                <w:szCs w:val="32"/>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95C1C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 奖项设置</w:t>
            </w:r>
          </w:p>
          <w:p w14:paraId="0796F28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3893F1E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“擂主”团队将获得最高级别的奖励与后续支持，并进入重点人才培养流程。</w:t>
            </w:r>
          </w:p>
          <w:p w14:paraId="059A873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18FB25F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1.奖金支持</w:t>
            </w:r>
          </w:p>
          <w:p w14:paraId="07E206B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给予入选项目相应资金奖励。</w:t>
            </w:r>
          </w:p>
          <w:p w14:paraId="4136AE8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2.“擂主”团队专属奖励</w:t>
            </w:r>
          </w:p>
          <w:p w14:paraId="69DAA1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“擂主”团队除奖金外，团队核心成员（限3人）若获得保研资格，可免笔试直接进入本单位保研最终面试环节，考核通过后优先录用。</w:t>
            </w:r>
          </w:p>
        </w:tc>
      </w:tr>
    </w:tbl>
    <w:p w14:paraId="060BA119">
      <w:pPr>
        <w:rPr>
          <w:rFonts w:eastAsia="方正黑体简体"/>
          <w:sz w:val="32"/>
          <w:szCs w:val="32"/>
          <w:lang w:val="en-US"/>
        </w:rPr>
      </w:pPr>
      <w:r>
        <w:rPr>
          <w:rFonts w:hint="eastAsia" w:eastAsia="方正黑体简体"/>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A5615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077132">
            <w:pPr>
              <w:jc w:val="center"/>
              <w:rPr>
                <w:rFonts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66A4A">
            <w:pPr>
              <w:rPr>
                <w:rFonts w:eastAsia="仿宋_GB2312"/>
              </w:rPr>
            </w:pPr>
            <w:r>
              <w:rPr>
                <w:rFonts w:hint="eastAsia" w:eastAsia="仿宋_GB2312"/>
              </w:rPr>
              <w:t>现有相关科学研究存在的问题：</w:t>
            </w:r>
          </w:p>
          <w:p w14:paraId="577F9C05">
            <w:pPr>
              <w:rPr>
                <w:rFonts w:eastAsia="仿宋_GB2312"/>
              </w:rPr>
            </w:pPr>
            <w:r>
              <w:rPr>
                <w:rFonts w:eastAsia="仿宋_GB2312"/>
              </w:rPr>
              <w:t>1.</w:t>
            </w:r>
            <w:r>
              <w:rPr>
                <w:rFonts w:hint="eastAsia" w:eastAsia="仿宋_GB2312"/>
              </w:rPr>
              <w:t>传统的单流体</w:t>
            </w:r>
            <w:r>
              <w:rPr>
                <w:rFonts w:eastAsia="仿宋_GB2312"/>
              </w:rPr>
              <w:t>MHD</w:t>
            </w:r>
            <w:r>
              <w:rPr>
                <w:rFonts w:hint="eastAsia" w:eastAsia="仿宋_GB2312"/>
              </w:rPr>
              <w:t>模型难以分辨离子动力学效应，对非流体尺度现象捕捉不足。</w:t>
            </w:r>
          </w:p>
          <w:p w14:paraId="55914CC6">
            <w:pPr>
              <w:rPr>
                <w:rFonts w:eastAsia="仿宋_GB2312"/>
              </w:rPr>
            </w:pPr>
            <w:r>
              <w:rPr>
                <w:rFonts w:eastAsia="仿宋_GB2312"/>
              </w:rPr>
              <w:t>2.</w:t>
            </w:r>
            <w:r>
              <w:rPr>
                <w:rFonts w:hint="eastAsia" w:eastAsia="仿宋_GB2312"/>
              </w:rPr>
              <w:t>金星和火星的感应磁层常作为独立对象研究，缺乏统一数值模型下的数值实验，难以识别具有代表性的共性物理过程。</w:t>
            </w:r>
          </w:p>
          <w:p w14:paraId="03389B26">
            <w:pPr>
              <w:rPr>
                <w:rFonts w:eastAsia="仿宋_GB2312"/>
              </w:rPr>
            </w:pPr>
            <w:r>
              <w:rPr>
                <w:rFonts w:eastAsia="仿宋_GB2312"/>
              </w:rPr>
              <w:t>3.</w:t>
            </w:r>
            <w:r>
              <w:rPr>
                <w:rFonts w:hint="eastAsia" w:eastAsia="仿宋_GB2312"/>
              </w:rPr>
              <w:t>已有对逃逸过程的研究多集中于统计性解释，无法充分验证离子动力学主导机制的有效性。</w:t>
            </w:r>
          </w:p>
          <w:p w14:paraId="22268586">
            <w:pPr>
              <w:rPr>
                <w:rFonts w:eastAsia="仿宋_GB2312"/>
              </w:rPr>
            </w:pPr>
          </w:p>
          <w:p w14:paraId="54CCC746">
            <w:pPr>
              <w:rPr>
                <w:rFonts w:eastAsia="仿宋_GB2312"/>
              </w:rPr>
            </w:pPr>
            <w:r>
              <w:rPr>
                <w:rFonts w:hint="eastAsia" w:eastAsia="仿宋_GB2312"/>
              </w:rPr>
              <w:t>因此，系统研究金星磁感应磁层中离子动力学效应，并与火星进行比较分析，将有助于揭示类地行星在缺乏内禀磁场条件下的共性物理机制，为理解地球的独特性与宜居性提供参考。</w:t>
            </w:r>
          </w:p>
        </w:tc>
      </w:tr>
      <w:tr w14:paraId="5566C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52E1BA">
            <w:pPr>
              <w:jc w:val="center"/>
              <w:rPr>
                <w:rFonts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36161">
            <w:pPr>
              <w:rPr>
                <w:rFonts w:eastAsia="仿宋_GB2312"/>
              </w:rPr>
            </w:pPr>
            <w:r>
              <w:rPr>
                <w:rFonts w:hint="eastAsia" w:eastAsia="仿宋_GB2312"/>
              </w:rPr>
              <w:t>空间科学研究作为关系国家社会发展、科技进步和空间安全的一个新兴研究领域而得到高度广泛关注，成为国际上激烈竞争的科学领域之一。通过解决本榜单提出的科研问题，旨在为我国未来的深空探索研究提供优秀的储备人才。</w:t>
            </w:r>
          </w:p>
        </w:tc>
      </w:tr>
    </w:tbl>
    <w:p w14:paraId="78C61E1A">
      <w:pPr>
        <w:rPr>
          <w:rFonts w:hint="eastAsia" w:eastAsia="楷体_GB2312"/>
        </w:rPr>
      </w:pPr>
      <w:r>
        <w:rPr>
          <w:rFonts w:hint="eastAsia" w:eastAsia="楷体_GB2312"/>
        </w:rPr>
        <w:br w:type="page"/>
      </w:r>
    </w:p>
    <w:p w14:paraId="0406F034">
      <w:pPr>
        <w:rPr>
          <w:rFonts w:hint="eastAsia" w:eastAsia="楷体_GB2312"/>
        </w:rPr>
      </w:pPr>
    </w:p>
    <w:p w14:paraId="6C798C5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1892C29">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—02</w:t>
      </w:r>
    </w:p>
    <w:p w14:paraId="048C0204">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6157F19F">
      <w:pPr>
        <w:pStyle w:val="21"/>
        <w:numPr>
          <w:ilvl w:val="0"/>
          <w:numId w:val="1"/>
        </w:numPr>
        <w:tabs>
          <w:tab w:val="left" w:pos="8640"/>
        </w:tabs>
        <w:adjustRightInd w:val="0"/>
        <w:snapToGrid w:val="0"/>
        <w:spacing w:line="560" w:lineRule="exact"/>
        <w:ind w:firstLineChars="0"/>
        <w:rPr>
          <w:rFonts w:ascii="方正黑体简体" w:eastAsia="方正黑体简体"/>
          <w:bCs/>
          <w:spacing w:val="6"/>
          <w:sz w:val="32"/>
          <w:szCs w:val="32"/>
        </w:rPr>
      </w:pPr>
      <w:r>
        <w:rPr>
          <w:rFonts w:hint="eastAsia" w:ascii="方正黑体简体" w:eastAsia="方正黑体简体"/>
          <w:bCs/>
          <w:spacing w:val="6"/>
          <w:sz w:val="32"/>
          <w:szCs w:val="32"/>
        </w:rPr>
        <w:t>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04E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C0C70D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5B2D0C15">
            <w:pPr>
              <w:adjustRightInd w:val="0"/>
              <w:snapToGrid w:val="0"/>
              <w:ind w:left="0" w:leftChars="0" w:right="0" w:rightChars="0" w:firstLine="0" w:firstLineChars="0"/>
              <w:jc w:val="center"/>
              <w:rPr>
                <w:rFonts w:ascii="仿宋_GB2312" w:hAnsi="仿宋_GB2312" w:eastAsia="仿宋_GB2312" w:cs="仿宋_GB2312"/>
              </w:rPr>
            </w:pPr>
            <w:r>
              <w:rPr>
                <w:rFonts w:eastAsia="仿宋_GB2312"/>
                <w:lang w:val="en-US"/>
              </w:rPr>
              <w:t>李宁（中国）体育用品有限公司</w:t>
            </w:r>
          </w:p>
        </w:tc>
      </w:tr>
      <w:tr w14:paraId="2F32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669CD8C">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5811403">
            <w:pPr>
              <w:adjustRightInd w:val="0"/>
              <w:snapToGrid w:val="0"/>
              <w:ind w:left="0" w:leftChars="0" w:right="0" w:rightChars="0" w:firstLine="0" w:firstLineChars="0"/>
              <w:jc w:val="center"/>
              <w:rPr>
                <w:rFonts w:ascii="仿宋_GB2312" w:hAnsi="仿宋_GB2312" w:eastAsia="仿宋_GB2312" w:cs="仿宋_GB2312"/>
                <w:bCs/>
                <w:spacing w:val="6"/>
                <w:szCs w:val="28"/>
                <w:lang w:val="en-US"/>
              </w:rPr>
            </w:pPr>
            <w:r>
              <w:rPr>
                <w:rFonts w:hint="eastAsia" w:eastAsia="仿宋_GB2312"/>
                <w:lang w:val="en-US"/>
              </w:rPr>
              <w:t>外资企业</w:t>
            </w:r>
          </w:p>
        </w:tc>
      </w:tr>
      <w:tr w14:paraId="16CF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A513BD5">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6657BAFA">
            <w:pPr>
              <w:adjustRightInd w:val="0"/>
              <w:ind w:left="0" w:leftChars="0" w:right="0" w:rightChars="0" w:firstLine="0" w:firstLineChars="0"/>
              <w:jc w:val="center"/>
              <w:rPr>
                <w:rFonts w:ascii="仿宋_GB2312" w:hAnsi="仿宋_GB2312" w:eastAsia="仿宋_GB2312" w:cs="仿宋_GB2312"/>
              </w:rPr>
            </w:pPr>
            <w:r>
              <w:rPr>
                <w:rFonts w:eastAsia="仿宋_GB2312"/>
              </w:rPr>
              <w:t>北京市北京经济技术开发区</w:t>
            </w:r>
            <w:r>
              <w:rPr>
                <w:rFonts w:hint="eastAsia" w:eastAsia="仿宋_GB2312"/>
                <w:lang w:eastAsia="zh-CN"/>
              </w:rPr>
              <w:t>（</w:t>
            </w:r>
            <w:r>
              <w:rPr>
                <w:rFonts w:eastAsia="仿宋_GB2312"/>
              </w:rPr>
              <w:t>通州</w:t>
            </w:r>
            <w:r>
              <w:rPr>
                <w:rFonts w:hint="eastAsia" w:eastAsia="仿宋_GB2312"/>
                <w:lang w:eastAsia="zh-CN"/>
              </w:rPr>
              <w:t>）</w:t>
            </w:r>
            <w:r>
              <w:rPr>
                <w:rFonts w:eastAsia="仿宋_GB2312"/>
              </w:rPr>
              <w:t>兴光五街8号1-8幢</w:t>
            </w:r>
          </w:p>
        </w:tc>
      </w:tr>
      <w:tr w14:paraId="2563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2" w:hRule="atLeast"/>
          <w:jc w:val="center"/>
        </w:trPr>
        <w:tc>
          <w:tcPr>
            <w:tcW w:w="1668" w:type="dxa"/>
            <w:vAlign w:val="center"/>
          </w:tcPr>
          <w:p w14:paraId="3600F93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4006F18C">
            <w:pPr>
              <w:ind w:firstLine="506"/>
              <w:rPr>
                <w:rFonts w:eastAsia="仿宋_GB2312"/>
              </w:rPr>
            </w:pPr>
            <w:r>
              <w:rPr>
                <w:rFonts w:hint="eastAsia" w:eastAsia="仿宋_GB2312"/>
              </w:rPr>
              <w:t>李宁（中国）体育用品有限公司成立于</w:t>
            </w:r>
            <w:r>
              <w:rPr>
                <w:rFonts w:eastAsia="仿宋_GB2312"/>
              </w:rPr>
              <w:t>1990</w:t>
            </w:r>
            <w:r>
              <w:rPr>
                <w:rFonts w:hint="eastAsia" w:eastAsia="仿宋_GB2312"/>
              </w:rPr>
              <w:t>年，</w:t>
            </w:r>
            <w:r>
              <w:rPr>
                <w:rFonts w:eastAsia="仿宋_GB2312"/>
              </w:rPr>
              <w:t>2007</w:t>
            </w:r>
            <w:r>
              <w:rPr>
                <w:rFonts w:hint="eastAsia" w:eastAsia="仿宋_GB2312"/>
              </w:rPr>
              <w:t>年</w:t>
            </w:r>
            <w:r>
              <w:rPr>
                <w:rFonts w:eastAsia="仿宋_GB2312"/>
              </w:rPr>
              <w:t>7</w:t>
            </w:r>
            <w:r>
              <w:rPr>
                <w:rFonts w:hint="eastAsia" w:eastAsia="仿宋_GB2312"/>
              </w:rPr>
              <w:t>月</w:t>
            </w:r>
            <w:r>
              <w:rPr>
                <w:rFonts w:eastAsia="仿宋_GB2312"/>
              </w:rPr>
              <w:t>6</w:t>
            </w:r>
            <w:r>
              <w:rPr>
                <w:rFonts w:hint="eastAsia" w:eastAsia="仿宋_GB2312"/>
              </w:rPr>
              <w:t>日完成工商注册，总部位于北京市北京经济技术开发区，法定代表人为李宁。公司主营运动鞋服、体育器材的生产与销售，旗下拥有李宁、红双喜、艾高、乐途等品牌。</w:t>
            </w:r>
            <w:r>
              <w:rPr>
                <w:rFonts w:eastAsia="仿宋_GB2312"/>
              </w:rPr>
              <w:t>2024</w:t>
            </w:r>
            <w:r>
              <w:rPr>
                <w:rFonts w:hint="eastAsia" w:eastAsia="仿宋_GB2312"/>
              </w:rPr>
              <w:t>年注册资本为</w:t>
            </w:r>
            <w:r>
              <w:rPr>
                <w:rFonts w:eastAsia="仿宋_GB2312"/>
              </w:rPr>
              <w:t>10.17</w:t>
            </w:r>
            <w:r>
              <w:rPr>
                <w:rFonts w:hint="eastAsia" w:eastAsia="仿宋_GB2312"/>
              </w:rPr>
              <w:t>亿元，系台港澳法人独资企业。</w:t>
            </w:r>
            <w:r>
              <w:rPr>
                <w:rFonts w:eastAsia="仿宋_GB2312"/>
              </w:rPr>
              <w:t>2022</w:t>
            </w:r>
            <w:r>
              <w:rPr>
                <w:rFonts w:hint="eastAsia" w:eastAsia="仿宋_GB2312"/>
              </w:rPr>
              <w:t>年全年收入</w:t>
            </w:r>
            <w:r>
              <w:rPr>
                <w:rFonts w:eastAsia="仿宋_GB2312"/>
              </w:rPr>
              <w:t>258.03</w:t>
            </w:r>
            <w:r>
              <w:rPr>
                <w:rFonts w:hint="eastAsia" w:eastAsia="仿宋_GB2312"/>
              </w:rPr>
              <w:t>亿元，净利润</w:t>
            </w:r>
            <w:r>
              <w:rPr>
                <w:rFonts w:eastAsia="仿宋_GB2312"/>
              </w:rPr>
              <w:t>40.64</w:t>
            </w:r>
            <w:r>
              <w:rPr>
                <w:rFonts w:hint="eastAsia" w:eastAsia="仿宋_GB2312"/>
              </w:rPr>
              <w:t>亿元；</w:t>
            </w:r>
            <w:r>
              <w:rPr>
                <w:rFonts w:eastAsia="仿宋_GB2312"/>
              </w:rPr>
              <w:t>2025</w:t>
            </w:r>
            <w:r>
              <w:rPr>
                <w:rFonts w:hint="eastAsia" w:eastAsia="仿宋_GB2312"/>
              </w:rPr>
              <w:t>年上半年收入</w:t>
            </w:r>
            <w:r>
              <w:rPr>
                <w:rFonts w:eastAsia="仿宋_GB2312"/>
              </w:rPr>
              <w:t>148.2</w:t>
            </w:r>
            <w:r>
              <w:rPr>
                <w:rFonts w:hint="eastAsia" w:eastAsia="仿宋_GB2312"/>
              </w:rPr>
              <w:t>亿元，净利润</w:t>
            </w:r>
            <w:r>
              <w:rPr>
                <w:rFonts w:eastAsia="仿宋_GB2312"/>
              </w:rPr>
              <w:t>17.4</w:t>
            </w:r>
            <w:r>
              <w:rPr>
                <w:rFonts w:hint="eastAsia" w:eastAsia="仿宋_GB2312"/>
              </w:rPr>
              <w:t>亿元。</w:t>
            </w:r>
          </w:p>
          <w:p w14:paraId="14BE54C1">
            <w:pPr>
              <w:adjustRightInd w:val="0"/>
              <w:snapToGrid w:val="0"/>
              <w:ind w:firstLine="480" w:firstLineChars="200"/>
              <w:jc w:val="both"/>
              <w:rPr>
                <w:rFonts w:ascii="仿宋_GB2312" w:hAnsi="仿宋_GB2312" w:eastAsia="仿宋_GB2312" w:cs="仿宋_GB2312"/>
                <w:bCs/>
                <w:spacing w:val="6"/>
                <w:szCs w:val="28"/>
              </w:rPr>
            </w:pPr>
            <w:r>
              <w:rPr>
                <w:rFonts w:hint="eastAsia" w:eastAsia="仿宋_GB2312"/>
              </w:rPr>
              <w:t>公司</w:t>
            </w:r>
            <w:r>
              <w:rPr>
                <w:rFonts w:eastAsia="仿宋_GB2312"/>
              </w:rPr>
              <w:t>1990</w:t>
            </w:r>
            <w:r>
              <w:rPr>
                <w:rFonts w:hint="eastAsia" w:eastAsia="仿宋_GB2312"/>
              </w:rPr>
              <w:t>年以亚运会赞助起步，</w:t>
            </w:r>
            <w:r>
              <w:rPr>
                <w:rFonts w:eastAsia="仿宋_GB2312"/>
              </w:rPr>
              <w:t>1992</w:t>
            </w:r>
            <w:r>
              <w:rPr>
                <w:rFonts w:hint="eastAsia" w:eastAsia="仿宋_GB2312"/>
              </w:rPr>
              <w:t>年起为中国奥运代表团提供装备。</w:t>
            </w:r>
            <w:r>
              <w:rPr>
                <w:rFonts w:eastAsia="仿宋_GB2312"/>
              </w:rPr>
              <w:t>2004</w:t>
            </w:r>
            <w:r>
              <w:rPr>
                <w:rFonts w:hint="eastAsia" w:eastAsia="仿宋_GB2312"/>
              </w:rPr>
              <w:t>年在港交所上市，次年成为</w:t>
            </w:r>
            <w:r>
              <w:rPr>
                <w:rFonts w:eastAsia="仿宋_GB2312"/>
              </w:rPr>
              <w:t>NBA</w:t>
            </w:r>
            <w:r>
              <w:rPr>
                <w:rFonts w:hint="eastAsia" w:eastAsia="仿宋_GB2312"/>
              </w:rPr>
              <w:t>官方合作伙伴。</w:t>
            </w:r>
            <w:r>
              <w:rPr>
                <w:rFonts w:eastAsia="仿宋_GB2312"/>
              </w:rPr>
              <w:t>2008</w:t>
            </w:r>
            <w:r>
              <w:rPr>
                <w:rFonts w:hint="eastAsia" w:eastAsia="仿宋_GB2312"/>
              </w:rPr>
              <w:t>年借助北京奥运会提升影响力，</w:t>
            </w:r>
            <w:r>
              <w:rPr>
                <w:rFonts w:eastAsia="仿宋_GB2312"/>
              </w:rPr>
              <w:t>2009</w:t>
            </w:r>
            <w:r>
              <w:rPr>
                <w:rFonts w:hint="eastAsia" w:eastAsia="仿宋_GB2312"/>
              </w:rPr>
              <w:t>年拓展羽毛球领域。</w:t>
            </w:r>
            <w:r>
              <w:rPr>
                <w:rFonts w:eastAsia="仿宋_GB2312"/>
              </w:rPr>
              <w:t>2025</w:t>
            </w:r>
            <w:r>
              <w:rPr>
                <w:rFonts w:hint="eastAsia" w:eastAsia="仿宋_GB2312"/>
              </w:rPr>
              <w:t>年</w:t>
            </w:r>
            <w:r>
              <w:rPr>
                <w:rFonts w:eastAsia="仿宋_GB2312"/>
              </w:rPr>
              <w:t>4</w:t>
            </w:r>
            <w:r>
              <w:rPr>
                <w:rFonts w:hint="eastAsia" w:eastAsia="仿宋_GB2312"/>
              </w:rPr>
              <w:t>月发布《</w:t>
            </w:r>
            <w:r>
              <w:rPr>
                <w:rFonts w:eastAsia="仿宋_GB2312"/>
              </w:rPr>
              <w:t>2024</w:t>
            </w:r>
            <w:r>
              <w:rPr>
                <w:rFonts w:hint="eastAsia" w:eastAsia="仿宋_GB2312"/>
              </w:rPr>
              <w:t>年环境、社会及管治报告》，推出国内首款全降解专业运动鞋，</w:t>
            </w:r>
            <w:r>
              <w:rPr>
                <w:rFonts w:eastAsia="仿宋_GB2312"/>
              </w:rPr>
              <w:t>MSCI ESG</w:t>
            </w:r>
            <w:r>
              <w:rPr>
                <w:rFonts w:hint="eastAsia" w:eastAsia="仿宋_GB2312"/>
              </w:rPr>
              <w:t>评级升至</w:t>
            </w:r>
            <w:r>
              <w:rPr>
                <w:rFonts w:eastAsia="仿宋_GB2312"/>
              </w:rPr>
              <w:t>BBB</w:t>
            </w:r>
            <w:r>
              <w:rPr>
                <w:rFonts w:hint="eastAsia" w:eastAsia="仿宋_GB2312"/>
              </w:rPr>
              <w:t>级。</w:t>
            </w:r>
            <w:r>
              <w:rPr>
                <w:rFonts w:eastAsia="仿宋_GB2312"/>
              </w:rPr>
              <w:t>2025</w:t>
            </w:r>
            <w:r>
              <w:rPr>
                <w:rFonts w:hint="eastAsia" w:eastAsia="仿宋_GB2312"/>
              </w:rPr>
              <w:t>年</w:t>
            </w:r>
            <w:r>
              <w:rPr>
                <w:rFonts w:eastAsia="仿宋_GB2312"/>
              </w:rPr>
              <w:t>1</w:t>
            </w:r>
            <w:r>
              <w:rPr>
                <w:rFonts w:hint="eastAsia" w:eastAsia="仿宋_GB2312"/>
              </w:rPr>
              <w:t>月成为中国奥委会及中国体育代表团官方体育服装合作伙伴，</w:t>
            </w:r>
            <w:r>
              <w:rPr>
                <w:rFonts w:eastAsia="仿宋_GB2312"/>
              </w:rPr>
              <w:t>10</w:t>
            </w:r>
            <w:r>
              <w:rPr>
                <w:rFonts w:hint="eastAsia" w:eastAsia="仿宋_GB2312"/>
              </w:rPr>
              <w:t>月与贵州大学羽毛球队签署校企合作协议，</w:t>
            </w:r>
            <w:r>
              <w:rPr>
                <w:rFonts w:eastAsia="仿宋_GB2312"/>
              </w:rPr>
              <w:t>12</w:t>
            </w:r>
            <w:r>
              <w:rPr>
                <w:rFonts w:hint="eastAsia" w:eastAsia="仿宋_GB2312"/>
              </w:rPr>
              <w:t>月联合主办第三十五届“李宁杯”西南体操协作区比赛。公司系国内首家建成运动服装设计研发中心的企业，</w:t>
            </w:r>
            <w:r>
              <w:rPr>
                <w:rFonts w:eastAsia="仿宋_GB2312"/>
              </w:rPr>
              <w:t>2025</w:t>
            </w:r>
            <w:r>
              <w:rPr>
                <w:rFonts w:hint="eastAsia" w:eastAsia="仿宋_GB2312"/>
              </w:rPr>
              <w:t>年</w:t>
            </w:r>
            <w:r>
              <w:rPr>
                <w:rFonts w:eastAsia="仿宋_GB2312"/>
              </w:rPr>
              <w:t>12</w:t>
            </w:r>
            <w:r>
              <w:rPr>
                <w:rFonts w:hint="eastAsia" w:eastAsia="仿宋_GB2312"/>
              </w:rPr>
              <w:t>月与北京市体育局达成战略合作。</w:t>
            </w:r>
          </w:p>
        </w:tc>
      </w:tr>
      <w:tr w14:paraId="14187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1212736">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7E00D1EF">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储照伟</w:t>
            </w:r>
          </w:p>
        </w:tc>
        <w:tc>
          <w:tcPr>
            <w:tcW w:w="1073" w:type="dxa"/>
            <w:vAlign w:val="center"/>
          </w:tcPr>
          <w:p w14:paraId="4A0E60D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3C82A9B4">
            <w:pPr>
              <w:adjustRightInd w:val="0"/>
              <w:jc w:val="center"/>
              <w:rPr>
                <w:rFonts w:eastAsia="方正仿宋简体"/>
              </w:rPr>
            </w:pPr>
            <w:r>
              <w:rPr>
                <w:rFonts w:hint="eastAsia" w:eastAsia="方正仿宋简体"/>
              </w:rPr>
              <w:t>/</w:t>
            </w:r>
          </w:p>
        </w:tc>
      </w:tr>
      <w:tr w14:paraId="53C1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1D531FA">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643A13E6">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w:t>
            </w:r>
            <w:r>
              <w:rPr>
                <w:rFonts w:ascii="仿宋_GB2312" w:hAnsi="仿宋_GB2312" w:eastAsia="仿宋_GB2312" w:cs="仿宋_GB2312"/>
                <w:bCs/>
                <w:spacing w:val="6"/>
                <w:szCs w:val="28"/>
                <w:lang w:val="en-US"/>
              </w:rPr>
              <w:t>5210983783</w:t>
            </w:r>
          </w:p>
        </w:tc>
        <w:tc>
          <w:tcPr>
            <w:tcW w:w="1073" w:type="dxa"/>
            <w:vAlign w:val="center"/>
          </w:tcPr>
          <w:p w14:paraId="0DD7C3C3">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5EF94689">
            <w:pPr>
              <w:adjustRightInd w:val="0"/>
              <w:jc w:val="center"/>
              <w:rPr>
                <w:rFonts w:eastAsia="方正仿宋简体"/>
              </w:rPr>
            </w:pPr>
            <w:r>
              <w:rPr>
                <w:rFonts w:hint="eastAsia" w:ascii="仿宋_GB2312" w:hAnsi="仿宋_GB2312" w:eastAsia="仿宋_GB2312" w:cs="仿宋_GB2312"/>
                <w:bCs/>
                <w:spacing w:val="6"/>
                <w:szCs w:val="28"/>
                <w:lang w:val="en-US"/>
              </w:rPr>
              <w:t>1</w:t>
            </w:r>
            <w:r>
              <w:rPr>
                <w:rFonts w:ascii="仿宋_GB2312" w:hAnsi="仿宋_GB2312" w:eastAsia="仿宋_GB2312" w:cs="仿宋_GB2312"/>
                <w:bCs/>
                <w:spacing w:val="6"/>
                <w:szCs w:val="28"/>
                <w:lang w:val="en-US"/>
              </w:rPr>
              <w:t>5210983783</w:t>
            </w:r>
          </w:p>
        </w:tc>
      </w:tr>
    </w:tbl>
    <w:p w14:paraId="5671B61C">
      <w:pPr>
        <w:pStyle w:val="21"/>
        <w:numPr>
          <w:ilvl w:val="0"/>
          <w:numId w:val="1"/>
        </w:numPr>
        <w:tabs>
          <w:tab w:val="left" w:pos="8640"/>
        </w:tabs>
        <w:adjustRightInd w:val="0"/>
        <w:snapToGrid w:val="0"/>
        <w:spacing w:line="560" w:lineRule="exact"/>
        <w:ind w:firstLineChars="0"/>
        <w:rPr>
          <w:rFonts w:ascii="方正黑体简体" w:eastAsia="方正黑体简体"/>
          <w:bCs/>
          <w:spacing w:val="6"/>
          <w:sz w:val="32"/>
          <w:szCs w:val="32"/>
        </w:rPr>
      </w:pPr>
      <w:r>
        <w:rPr>
          <w:rFonts w:hint="eastAsia" w:ascii="方正黑体简体" w:eastAsia="方正黑体简体"/>
          <w:bCs/>
          <w:spacing w:val="6"/>
          <w:sz w:val="32"/>
          <w:szCs w:val="32"/>
        </w:rPr>
        <w:t>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522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0EC3CD">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50EE74">
            <w:pPr>
              <w:adjustRightInd w:val="0"/>
              <w:snapToGrid w:val="0"/>
              <w:jc w:val="both"/>
              <w:rPr>
                <w:rFonts w:ascii="仿宋_GB2312" w:hAnsi="仿宋_GB2312" w:eastAsia="仿宋_GB2312" w:cs="仿宋_GB2312"/>
                <w:color w:val="000000"/>
              </w:rPr>
            </w:pPr>
            <w:r>
              <w:rPr>
                <w:rFonts w:eastAsia="仿宋_GB2312"/>
              </w:rPr>
              <w:t>跑鞋缓震性能的主客观映射模型构建及量化评价方法研究</w:t>
            </w:r>
          </w:p>
        </w:tc>
      </w:tr>
      <w:tr w14:paraId="6B838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09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4821F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6932F6B">
            <w:pPr>
              <w:adjustRightInd w:val="0"/>
              <w:snapToGrid w:val="0"/>
              <w:jc w:val="both"/>
              <w:rPr>
                <w:rFonts w:ascii="仿宋_GB2312" w:hAnsi="仿宋_GB2312" w:eastAsia="仿宋_GB2312" w:cs="仿宋_GB2312"/>
                <w:color w:val="000000"/>
              </w:rPr>
            </w:pPr>
            <w:r>
              <w:rPr>
                <w:rFonts w:eastAsia="仿宋_GB2312"/>
              </w:rPr>
              <w:t>生物医学工程，运动</w:t>
            </w:r>
            <w:r>
              <w:rPr>
                <w:rFonts w:hint="eastAsia" w:eastAsia="仿宋_GB2312"/>
              </w:rPr>
              <w:t>人体科学</w:t>
            </w:r>
          </w:p>
        </w:tc>
      </w:tr>
      <w:tr w14:paraId="3F631A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2273A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2ED7D7">
            <w:pPr>
              <w:adjustRightInd w:val="0"/>
              <w:snapToGrid w:val="0"/>
              <w:ind w:firstLine="480" w:firstLineChars="200"/>
              <w:jc w:val="both"/>
              <w:rPr>
                <w:rFonts w:eastAsia="仿宋_GB2312"/>
                <w:lang w:val="en-US"/>
              </w:rPr>
            </w:pPr>
            <w:r>
              <w:rPr>
                <w:rFonts w:eastAsia="仿宋_GB2312"/>
                <w:lang w:val="en-US"/>
              </w:rPr>
              <w:t>跑步凭借其健康益处及较低的参与门槛，已成为全球</w:t>
            </w:r>
            <w:r>
              <w:rPr>
                <w:rFonts w:hint="eastAsia" w:eastAsia="仿宋_GB2312"/>
                <w:lang w:val="en-US"/>
              </w:rPr>
              <w:t>最</w:t>
            </w:r>
            <w:r>
              <w:rPr>
                <w:rFonts w:eastAsia="仿宋_GB2312"/>
                <w:lang w:val="en-US"/>
              </w:rPr>
              <w:t>广泛普及的体育活动。跑鞋作为</w:t>
            </w:r>
            <w:r>
              <w:rPr>
                <w:rFonts w:hint="eastAsia" w:eastAsia="仿宋_GB2312"/>
                <w:lang w:val="en-US"/>
              </w:rPr>
              <w:t>普遍认可的改善</w:t>
            </w:r>
            <w:r>
              <w:rPr>
                <w:rFonts w:eastAsia="仿宋_GB2312"/>
                <w:lang w:val="en-US"/>
              </w:rPr>
              <w:t>运动体验的关键装备，承担着缓解冲击、提升</w:t>
            </w:r>
            <w:r>
              <w:rPr>
                <w:rFonts w:hint="eastAsia" w:eastAsia="仿宋_GB2312"/>
                <w:lang w:val="en-US"/>
              </w:rPr>
              <w:t>跑步体验</w:t>
            </w:r>
            <w:r>
              <w:rPr>
                <w:rFonts w:eastAsia="仿宋_GB2312"/>
                <w:lang w:val="en-US"/>
              </w:rPr>
              <w:t>的重要功能。其中，</w:t>
            </w:r>
            <w:r>
              <w:rPr>
                <w:rFonts w:hint="eastAsia" w:eastAsia="仿宋_GB2312"/>
                <w:lang w:val="en-US"/>
              </w:rPr>
              <w:t>跑鞋中底的</w:t>
            </w:r>
            <w:r>
              <w:rPr>
                <w:rFonts w:eastAsia="仿宋_GB2312"/>
                <w:lang w:val="en-US"/>
              </w:rPr>
              <w:t>主观缓震感受是影响跑者选购决策及运动体验的核心要素。然而，现有研究多聚焦于实验室环境下的生物力学效能分析及材料性能测试，缺乏对主观缓震体验的标准化定义，且未建立其与跑鞋客观物理特征的量化映射</w:t>
            </w:r>
            <w:r>
              <w:rPr>
                <w:rFonts w:hint="eastAsia" w:eastAsia="仿宋_GB2312"/>
                <w:lang w:val="en-US"/>
              </w:rPr>
              <w:t>，</w:t>
            </w:r>
            <w:r>
              <w:rPr>
                <w:rFonts w:eastAsia="仿宋_GB2312"/>
                <w:lang w:val="en-US"/>
              </w:rPr>
              <w:t>致使现有成果在指导</w:t>
            </w:r>
            <w:r>
              <w:rPr>
                <w:rFonts w:hint="eastAsia" w:eastAsia="仿宋_GB2312"/>
                <w:lang w:val="en-US"/>
              </w:rPr>
              <w:t>跑者的</w:t>
            </w:r>
            <w:r>
              <w:rPr>
                <w:rFonts w:eastAsia="仿宋_GB2312"/>
                <w:lang w:val="en-US"/>
              </w:rPr>
              <w:t>跑鞋选购及</w:t>
            </w:r>
            <w:r>
              <w:rPr>
                <w:rFonts w:hint="eastAsia" w:eastAsia="仿宋_GB2312"/>
                <w:lang w:val="en-US"/>
              </w:rPr>
              <w:t>厂家对于跑鞋</w:t>
            </w:r>
            <w:r>
              <w:rPr>
                <w:rFonts w:eastAsia="仿宋_GB2312"/>
                <w:lang w:val="en-US"/>
              </w:rPr>
              <w:t>性能优化方面，存在理论数据与主观体验脱节的问题。</w:t>
            </w:r>
          </w:p>
          <w:p w14:paraId="64B38813">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eastAsia="仿宋_GB2312"/>
                <w:lang w:val="en-US"/>
              </w:rPr>
              <w:t>本题目要求参赛者基于当前跑者对跑鞋中底主观缓震感受的共识性认知及跑鞋的常见物理特征，设计工具或模型，能够将跑者的主观缓震感受与量化的标准鞋类特征建立映射关系，得出跑者更倾向选择的跑鞋物理特征以指导跑鞋性能的优化及生产。</w:t>
            </w:r>
          </w:p>
        </w:tc>
      </w:tr>
      <w:tr w14:paraId="4DF96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3EBFE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B8A992B">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具备创新性，独立设计并完成开发，此前未公开发布；</w:t>
            </w:r>
          </w:p>
          <w:p w14:paraId="1F22F4C5">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开发模拟跑鞋中底的客观物理特征的实验装置，通过装置收集跑者主观缓震的体验评价，并提供充分的实验数据证明主客观映射关系；</w:t>
            </w:r>
          </w:p>
          <w:p w14:paraId="1B14DD7F">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具备实用性，有一定的转化价值；</w:t>
            </w:r>
          </w:p>
          <w:p w14:paraId="0A81FFE5">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方案需具备明确的应用场景（如辅助跑鞋研发设计）；</w:t>
            </w:r>
          </w:p>
          <w:p w14:paraId="4891673D">
            <w:pPr>
              <w:adjustRightInd w:val="0"/>
              <w:snapToGrid w:val="0"/>
              <w:ind w:firstLine="504" w:firstLineChars="200"/>
              <w:rPr>
                <w:rFonts w:ascii="仿宋_GB2312" w:hAnsi="仿宋_GB2312" w:eastAsia="仿宋_GB2312" w:cs="仿宋_GB2312"/>
                <w:color w:val="000000"/>
              </w:rPr>
            </w:pPr>
            <w:r>
              <w:rPr>
                <w:rFonts w:ascii="仿宋_GB2312" w:hAnsi="仿宋_GB2312" w:eastAsia="仿宋_GB2312" w:cs="仿宋_GB2312"/>
                <w:bCs/>
                <w:color w:val="000000"/>
                <w:spacing w:val="6"/>
                <w:szCs w:val="28"/>
              </w:rPr>
              <w:t xml:space="preserve">5. </w:t>
            </w:r>
            <w:r>
              <w:rPr>
                <w:rFonts w:hint="eastAsia" w:ascii="仿宋_GB2312" w:hAnsi="仿宋_GB2312" w:eastAsia="仿宋_GB2312" w:cs="仿宋_GB2312"/>
                <w:bCs/>
                <w:color w:val="000000"/>
                <w:spacing w:val="6"/>
                <w:szCs w:val="28"/>
              </w:rPr>
              <w:t>参赛者需提交书面技术报告，内容包括：技术路线、详细技术方案（含模型的搭建，验证和实验方案）和实验分析结果。</w:t>
            </w:r>
          </w:p>
        </w:tc>
      </w:tr>
      <w:tr w14:paraId="53FB7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AB7DD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EA853B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7B249B">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作品总分包括主观分和客观分，其中主观分30分，客观分7</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5337FEF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（一）</w:t>
            </w:r>
            <w:r>
              <w:rPr>
                <w:rFonts w:ascii="仿宋_GB2312" w:hAnsi="仿宋_GB2312" w:eastAsia="仿宋_GB2312" w:cs="仿宋_GB2312"/>
                <w:bCs/>
                <w:color w:val="000000"/>
                <w:spacing w:val="6"/>
                <w:szCs w:val="28"/>
              </w:rPr>
              <w:tab/>
            </w:r>
            <w:r>
              <w:rPr>
                <w:rFonts w:hint="eastAsia" w:ascii="仿宋_GB2312" w:hAnsi="仿宋_GB2312" w:eastAsia="仿宋_GB2312" w:cs="仿宋_GB2312"/>
                <w:bCs/>
                <w:color w:val="000000"/>
                <w:spacing w:val="6"/>
                <w:szCs w:val="28"/>
              </w:rPr>
              <w:t>主观分</w:t>
            </w:r>
          </w:p>
          <w:p w14:paraId="263C129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评委主要从技术创新程度、科学性、工程性、功效性等维度进行综合评价，各维度所占分值情况如下：</w:t>
            </w:r>
          </w:p>
          <w:p w14:paraId="69A2A0D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作品中能体现完整合理的研究思路（分值：1</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1F0164D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作品的研究技术路线兼顾科学性、创新性、可行性（分值：</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1385AAC7">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（二）</w:t>
            </w:r>
            <w:r>
              <w:rPr>
                <w:rFonts w:hint="eastAsia" w:ascii="仿宋_GB2312" w:hAnsi="仿宋_GB2312" w:eastAsia="仿宋_GB2312" w:cs="仿宋_GB2312"/>
                <w:bCs/>
                <w:color w:val="000000"/>
                <w:spacing w:val="6"/>
                <w:szCs w:val="28"/>
              </w:rPr>
              <w:t>客观分</w:t>
            </w:r>
          </w:p>
          <w:p w14:paraId="09F549A5">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作品需要根据技术路线搭建模拟装置、招募受试者进行实验测试，要求受试者对于跑步运动及跑鞋具有一定的专业性，测试模型稳定可靠，通过专业测试设备，在标准测试流程下进行标定。</w:t>
            </w:r>
          </w:p>
          <w:p w14:paraId="2216FF0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完成跑鞋中底缓震主观感受的共识定义（分值：2</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6741AED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 xml:space="preserve">2. </w:t>
            </w:r>
            <w:r>
              <w:rPr>
                <w:rFonts w:ascii="仿宋_GB2312" w:hAnsi="仿宋_GB2312" w:eastAsia="仿宋_GB2312" w:cs="仿宋_GB2312"/>
                <w:bCs/>
                <w:color w:val="000000"/>
                <w:spacing w:val="6"/>
                <w:szCs w:val="28"/>
              </w:rPr>
              <w:t>搭建跑鞋</w:t>
            </w:r>
            <w:r>
              <w:rPr>
                <w:rFonts w:hint="eastAsia" w:ascii="仿宋_GB2312" w:hAnsi="仿宋_GB2312" w:eastAsia="仿宋_GB2312" w:cs="仿宋_GB2312"/>
                <w:bCs/>
                <w:color w:val="000000"/>
                <w:spacing w:val="6"/>
                <w:szCs w:val="28"/>
              </w:rPr>
              <w:t>中底材料客观指标的</w:t>
            </w:r>
            <w:r>
              <w:rPr>
                <w:rFonts w:ascii="仿宋_GB2312" w:hAnsi="仿宋_GB2312" w:eastAsia="仿宋_GB2312" w:cs="仿宋_GB2312"/>
                <w:bCs/>
                <w:color w:val="000000"/>
                <w:spacing w:val="6"/>
                <w:szCs w:val="28"/>
              </w:rPr>
              <w:t>模拟</w:t>
            </w:r>
            <w:r>
              <w:rPr>
                <w:rFonts w:hint="eastAsia" w:ascii="仿宋_GB2312" w:hAnsi="仿宋_GB2312" w:eastAsia="仿宋_GB2312" w:cs="仿宋_GB2312"/>
                <w:bCs/>
                <w:color w:val="000000"/>
                <w:spacing w:val="6"/>
                <w:szCs w:val="28"/>
              </w:rPr>
              <w:t>装置</w:t>
            </w:r>
            <w:r>
              <w:rPr>
                <w:rFonts w:ascii="仿宋_GB2312" w:hAnsi="仿宋_GB2312" w:eastAsia="仿宋_GB2312" w:cs="仿宋_GB2312"/>
                <w:bCs/>
                <w:color w:val="000000"/>
                <w:spacing w:val="6"/>
                <w:szCs w:val="28"/>
              </w:rPr>
              <w:t>，招募合格受试者进行实验。通过</w:t>
            </w:r>
            <w:r>
              <w:rPr>
                <w:rFonts w:hint="eastAsia" w:ascii="仿宋_GB2312" w:hAnsi="仿宋_GB2312" w:eastAsia="仿宋_GB2312" w:cs="仿宋_GB2312"/>
                <w:bCs/>
                <w:color w:val="000000"/>
                <w:spacing w:val="6"/>
                <w:szCs w:val="28"/>
              </w:rPr>
              <w:t>装置</w:t>
            </w:r>
            <w:r>
              <w:rPr>
                <w:rFonts w:ascii="仿宋_GB2312" w:hAnsi="仿宋_GB2312" w:eastAsia="仿宋_GB2312" w:cs="仿宋_GB2312"/>
                <w:bCs/>
                <w:color w:val="000000"/>
                <w:spacing w:val="6"/>
                <w:szCs w:val="28"/>
              </w:rPr>
              <w:t>测试，成功建立客观指标与主观体验之间的量化映射关系</w:t>
            </w:r>
            <w:r>
              <w:rPr>
                <w:rFonts w:hint="eastAsia" w:ascii="仿宋_GB2312" w:hAnsi="仿宋_GB2312" w:eastAsia="仿宋_GB2312" w:cs="仿宋_GB2312"/>
                <w:bCs/>
                <w:color w:val="000000"/>
                <w:spacing w:val="6"/>
                <w:szCs w:val="28"/>
              </w:rPr>
              <w:t>（分值：4</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416C15A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 xml:space="preserve">3. </w:t>
            </w:r>
            <w:r>
              <w:rPr>
                <w:rFonts w:ascii="仿宋_GB2312" w:hAnsi="仿宋_GB2312" w:eastAsia="仿宋_GB2312" w:cs="仿宋_GB2312"/>
                <w:bCs/>
                <w:color w:val="000000"/>
                <w:spacing w:val="6"/>
                <w:szCs w:val="28"/>
              </w:rPr>
              <w:t>提交规范、详实的受试者实验数据分析报告</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w:t>
            </w:r>
          </w:p>
        </w:tc>
      </w:tr>
      <w:tr w14:paraId="2DDAA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8970F1">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D46F1F">
            <w:pPr>
              <w:overflowPunct w:val="0"/>
              <w:adjustRightInd w:val="0"/>
              <w:snapToGrid w:val="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9BA9545">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925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2D066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7C7778">
            <w:pPr>
              <w:adjustRightInd w:val="0"/>
              <w:snapToGrid w:val="0"/>
              <w:ind w:firstLine="480" w:firstLineChars="200"/>
              <w:jc w:val="both"/>
              <w:rPr>
                <w:rFonts w:ascii="仿宋_GB2312" w:hAnsi="仿宋_GB2312" w:eastAsia="仿宋_GB2312" w:cs="仿宋_GB2312"/>
                <w:bCs/>
                <w:color w:val="000000"/>
                <w:spacing w:val="6"/>
                <w:szCs w:val="28"/>
              </w:rPr>
            </w:pPr>
            <w:r>
              <w:rPr>
                <w:rFonts w:eastAsia="仿宋_GB2312"/>
                <w:lang w:val="en-US"/>
              </w:rPr>
              <w:t>本单位将为特等奖参赛团队提供短期参观访问机会及实验室资源支持，在参赛过程中配备专业的专家组为参赛团队关于题目的进行专业支持。</w:t>
            </w:r>
          </w:p>
        </w:tc>
      </w:tr>
      <w:tr w14:paraId="3F35A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A2A3A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399C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0645F6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FE0462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二、激励措施 </w:t>
            </w:r>
          </w:p>
          <w:p w14:paraId="29D7793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1.带薪实习机会 </w:t>
            </w:r>
          </w:p>
          <w:p w14:paraId="64F9A02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获奖选手可优先获得李宁运动科学应用研发中心的实习</w:t>
            </w:r>
          </w:p>
          <w:p w14:paraId="60B0017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实践机会。 </w:t>
            </w:r>
          </w:p>
          <w:p w14:paraId="67EB1A4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2.合作共赢 </w:t>
            </w:r>
          </w:p>
          <w:p w14:paraId="338B52A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若获奖团队的参赛方案可实际应用于产品开发，在无知</w:t>
            </w:r>
          </w:p>
          <w:p w14:paraId="076F1FC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识产权纠纷的前提下，将提供进一步合作开发机会。 </w:t>
            </w:r>
          </w:p>
          <w:p w14:paraId="1EFEABD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 xml:space="preserve">3.优惠券奖励 </w:t>
            </w:r>
          </w:p>
          <w:p w14:paraId="7313941A">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获奖选手可获得李宁品牌产品6折优惠券权益。</w:t>
            </w:r>
          </w:p>
        </w:tc>
      </w:tr>
    </w:tbl>
    <w:p w14:paraId="1D5F0521">
      <w:pPr>
        <w:tabs>
          <w:tab w:val="left" w:pos="8640"/>
        </w:tabs>
        <w:adjustRightInd w:val="0"/>
        <w:snapToGrid w:val="0"/>
        <w:spacing w:line="560" w:lineRule="exact"/>
        <w:rPr>
          <w:rFonts w:hint="eastAsia" w:ascii="方正黑体简体" w:eastAsia="方正黑体简体"/>
          <w:bCs/>
          <w:spacing w:val="6"/>
          <w:sz w:val="32"/>
          <w:szCs w:val="32"/>
          <w:lang w:val="en-US"/>
        </w:rPr>
      </w:pPr>
    </w:p>
    <w:p w14:paraId="415FC297">
      <w:pPr>
        <w:tabs>
          <w:tab w:val="left" w:pos="8640"/>
        </w:tabs>
        <w:adjustRightInd w:val="0"/>
        <w:snapToGrid w:val="0"/>
        <w:spacing w:line="560" w:lineRule="exact"/>
        <w:rPr>
          <w:rFonts w:hint="eastAsia" w:ascii="方正黑体简体" w:eastAsia="方正黑体简体"/>
          <w:bCs/>
          <w:spacing w:val="6"/>
          <w:sz w:val="32"/>
          <w:szCs w:val="32"/>
          <w:lang w:val="en-US"/>
        </w:rPr>
      </w:pPr>
    </w:p>
    <w:p w14:paraId="2F2FBD04">
      <w:pPr>
        <w:tabs>
          <w:tab w:val="left" w:pos="8640"/>
        </w:tabs>
        <w:adjustRightInd w:val="0"/>
        <w:snapToGrid w:val="0"/>
        <w:spacing w:line="560" w:lineRule="exact"/>
        <w:rPr>
          <w:rFonts w:hint="eastAsia"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6F0D7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DF8CD3B">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E7D076">
            <w:pPr>
              <w:overflowPunct w:val="0"/>
              <w:adjustRightInd w:val="0"/>
              <w:snapToGrid w:val="0"/>
              <w:ind w:firstLine="480" w:firstLineChars="200"/>
              <w:rPr>
                <w:rFonts w:ascii="仿宋_GB2312" w:hAnsi="仿宋_GB2312" w:eastAsia="仿宋_GB2312" w:cs="仿宋_GB2312"/>
                <w:bCs/>
                <w:color w:val="000000"/>
                <w:spacing w:val="6"/>
                <w:szCs w:val="28"/>
              </w:rPr>
            </w:pPr>
            <w:r>
              <w:rPr>
                <w:rFonts w:eastAsia="仿宋_GB2312"/>
              </w:rPr>
              <w:t>本选题针对当前跑鞋研究过于依赖客观生物力学指标以及材料属性而缺乏对主观感受的量化映射的行业痛点，旨在建立客观物理特征与主观穿着体验之间的科学映射模型，并构建标准化的评价体系 。这将有效解决现有的跑鞋材料客观机械性能测试难以真实反映跑者穿着体验的难题，推动跑鞋研发向客观与主观结合的转变，为行业提供更加合理的跑鞋性能优化标准与理论依据。</w:t>
            </w:r>
          </w:p>
        </w:tc>
      </w:tr>
      <w:tr w14:paraId="4FF0F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602CB4">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78490F">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本项目的预期成果将产生显著的经济和社会效益。在经济效益上，该技术有望优化当前跑鞋的设计方法，通过</w:t>
            </w:r>
            <w:r>
              <w:rPr>
                <w:rFonts w:hint="eastAsia" w:ascii="仿宋_GB2312" w:hAnsi="仿宋_GB2312" w:eastAsia="仿宋_GB2312" w:cs="仿宋_GB2312"/>
                <w:bCs/>
                <w:color w:val="000000"/>
                <w:spacing w:val="6"/>
                <w:szCs w:val="28"/>
              </w:rPr>
              <w:t>主观缓震体验</w:t>
            </w:r>
            <w:r>
              <w:rPr>
                <w:rFonts w:ascii="仿宋_GB2312" w:hAnsi="仿宋_GB2312" w:eastAsia="仿宋_GB2312" w:cs="仿宋_GB2312"/>
                <w:bCs/>
                <w:color w:val="000000"/>
                <w:spacing w:val="6"/>
                <w:szCs w:val="28"/>
              </w:rPr>
              <w:t>评估模型降低企业研发的试错成本，助力国产跑鞋品牌向高科技、高质量发展转型。从社会效益角度出发，合理的跑鞋设计能够满足广大跑者对跑鞋这一运动设备的个性化需求，通过科学的装备匹配降低运动损伤风险，对于服务“健康中国”战略、促进全民健身活动的科学化开展具有重要的社会价值。</w:t>
            </w:r>
          </w:p>
        </w:tc>
      </w:tr>
    </w:tbl>
    <w:p w14:paraId="2EE438E4">
      <w:pPr>
        <w:tabs>
          <w:tab w:val="left" w:pos="8640"/>
        </w:tabs>
        <w:adjustRightInd w:val="0"/>
        <w:snapToGrid w:val="0"/>
        <w:spacing w:line="560" w:lineRule="exact"/>
        <w:rPr>
          <w:rFonts w:ascii="方正黑体简体" w:eastAsia="方正黑体简体"/>
          <w:bCs/>
          <w:spacing w:val="6"/>
          <w:sz w:val="32"/>
          <w:szCs w:val="32"/>
          <w:lang w:val="en-US"/>
        </w:rPr>
      </w:pPr>
    </w:p>
    <w:p w14:paraId="06F87F61">
      <w:pPr>
        <w:rPr>
          <w:rFonts w:ascii="方正黑体简体" w:eastAsia="方正黑体简体"/>
          <w:bCs/>
          <w:spacing w:val="6"/>
          <w:sz w:val="32"/>
          <w:szCs w:val="32"/>
          <w:lang w:val="en-US"/>
        </w:rPr>
      </w:pPr>
      <w:r>
        <w:rPr>
          <w:rFonts w:ascii="方正黑体简体" w:eastAsia="方正黑体简体"/>
          <w:bCs/>
          <w:spacing w:val="6"/>
          <w:sz w:val="32"/>
          <w:szCs w:val="32"/>
          <w:lang w:val="en-US"/>
        </w:rPr>
        <w:br w:type="page"/>
      </w:r>
    </w:p>
    <w:p w14:paraId="045A564F">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1961F39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eastAsia"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—03</w:t>
      </w:r>
    </w:p>
    <w:p w14:paraId="72581ED4">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9EA5660">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37E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FB2A668">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00E6770">
            <w:pPr>
              <w:adjustRightInd w:val="0"/>
              <w:snapToGrid w:val="0"/>
              <w:jc w:val="center"/>
              <w:rPr>
                <w:rFonts w:hint="eastAsia" w:ascii="仿宋_GB2312" w:hAnsi="仿宋_GB2312" w:eastAsia="仿宋_GB2312" w:cs="仿宋_GB2312"/>
                <w:lang w:val="en-US"/>
              </w:rPr>
            </w:pPr>
            <w:r>
              <w:rPr>
                <w:rFonts w:hint="eastAsia" w:ascii="仿宋_GB2312" w:hAnsi="仿宋_GB2312" w:eastAsia="仿宋_GB2312" w:cs="仿宋_GB2312"/>
                <w:bCs/>
                <w:spacing w:val="6"/>
                <w:szCs w:val="28"/>
                <w:lang w:val="en-US"/>
              </w:rPr>
              <w:t>北京市朝阳区爱心语润智力残疾人康复服务中心</w:t>
            </w:r>
          </w:p>
        </w:tc>
      </w:tr>
      <w:tr w14:paraId="37ED5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5243291">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37766EE5">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民办非企业</w:t>
            </w:r>
          </w:p>
        </w:tc>
      </w:tr>
      <w:tr w14:paraId="6E8D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1AEA4F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7B5DBA9F">
            <w:pPr>
              <w:adjustRightInd w:val="0"/>
              <w:jc w:val="center"/>
              <w:rPr>
                <w:rFonts w:hint="eastAsia" w:ascii="仿宋_GB2312" w:hAnsi="仿宋_GB2312" w:eastAsia="仿宋_GB2312" w:cs="仿宋_GB2312"/>
              </w:rPr>
            </w:pPr>
            <w:r>
              <w:rPr>
                <w:rFonts w:hint="eastAsia" w:ascii="仿宋_GB2312" w:hAnsi="仿宋_GB2312" w:eastAsia="仿宋_GB2312" w:cs="仿宋_GB2312"/>
                <w:lang w:val="en-US"/>
              </w:rPr>
              <w:t>北京市</w:t>
            </w:r>
            <w:r>
              <w:rPr>
                <w:rFonts w:hint="eastAsia" w:ascii="仿宋_GB2312" w:hAnsi="仿宋_GB2312" w:eastAsia="仿宋_GB2312" w:cs="仿宋_GB2312"/>
              </w:rPr>
              <w:t>朝阳区</w:t>
            </w:r>
            <w:r>
              <w:rPr>
                <w:rFonts w:hint="eastAsia" w:ascii="仿宋_GB2312" w:hAnsi="仿宋_GB2312" w:eastAsia="仿宋_GB2312" w:cs="仿宋_GB2312"/>
                <w:lang w:val="en-US"/>
              </w:rPr>
              <w:t>王四营乡</w:t>
            </w:r>
            <w:r>
              <w:rPr>
                <w:rFonts w:hint="eastAsia" w:ascii="仿宋_GB2312" w:hAnsi="仿宋_GB2312" w:eastAsia="仿宋_GB2312" w:cs="仿宋_GB2312"/>
              </w:rPr>
              <w:t>观音堂文化园内</w:t>
            </w:r>
          </w:p>
        </w:tc>
      </w:tr>
      <w:tr w14:paraId="323A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6327B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3083EBB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 xml:space="preserve"> 北京市朝阳区爱心语润智力残疾人康复服务中心成立于 2017年4月，是经朝阳区民政局批准注册的民办非企业机构，业务主管单位为北京市朝阳区残疾人联合会。发展历程中，机构逐步实现规范化与专业化升级：2008年由孙大琴女士创立“爱心语润” 品牌基础；2017年2月成为“北京市残疾儿童康复定点机构”，同年10月成立党支部；2019 年被评为“优秀党支部”；2022 年获得社会组织4A评估等级。</w:t>
            </w:r>
          </w:p>
          <w:p w14:paraId="107CCDD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 xml:space="preserve">机构专注于为智力障碍、孤独症等心智障碍者提供康复训练、支持性教育、支持性生活和支持性就业服务，秉持专业服务理念，致力于帮助心智障碍群体提升生活自理与社会交往能力，更好地融入社会。  </w:t>
            </w:r>
          </w:p>
          <w:p w14:paraId="1C006BAB">
            <w:pPr>
              <w:adjustRightInd w:val="0"/>
              <w:snapToGrid w:val="0"/>
              <w:ind w:firstLine="504" w:firstLineChars="200"/>
              <w:jc w:val="both"/>
              <w:rPr>
                <w:rFonts w:hint="eastAsia" w:ascii="仿宋_GB2312" w:hAnsi="仿宋_GB2312" w:eastAsia="仿宋_GB2312" w:cs="仿宋_GB2312"/>
                <w:bCs/>
                <w:spacing w:val="6"/>
                <w:szCs w:val="28"/>
                <w:lang w:val="en-US"/>
              </w:rPr>
            </w:pPr>
          </w:p>
        </w:tc>
      </w:tr>
      <w:tr w14:paraId="1C84E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F8E3BFE">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31DC2BBD">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王朗</w:t>
            </w:r>
          </w:p>
        </w:tc>
        <w:tc>
          <w:tcPr>
            <w:tcW w:w="1073" w:type="dxa"/>
            <w:vAlign w:val="center"/>
          </w:tcPr>
          <w:p w14:paraId="365FB39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1035E955">
            <w:pPr>
              <w:adjustRightInd w:val="0"/>
              <w:jc w:val="center"/>
              <w:rPr>
                <w:rFonts w:eastAsia="方正仿宋简体"/>
                <w:lang w:val="en-US"/>
              </w:rPr>
            </w:pPr>
            <w:r>
              <w:rPr>
                <w:rFonts w:hint="eastAsia" w:eastAsia="方正仿宋简体"/>
                <w:lang w:val="en-US"/>
              </w:rPr>
              <w:t>中心主任</w:t>
            </w:r>
          </w:p>
        </w:tc>
      </w:tr>
      <w:tr w14:paraId="5F2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42F1524">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31CC1BDE">
            <w:pPr>
              <w:adjustRightInd w:val="0"/>
              <w:snapToGrid w:val="0"/>
              <w:jc w:val="both"/>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18519040021</w:t>
            </w:r>
          </w:p>
        </w:tc>
        <w:tc>
          <w:tcPr>
            <w:tcW w:w="1073" w:type="dxa"/>
            <w:vAlign w:val="center"/>
          </w:tcPr>
          <w:p w14:paraId="1A1325EC">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63699A4">
            <w:pPr>
              <w:adjustRightInd w:val="0"/>
              <w:jc w:val="center"/>
              <w:rPr>
                <w:rFonts w:eastAsia="方正仿宋简体"/>
              </w:rPr>
            </w:pPr>
            <w:r>
              <w:rPr>
                <w:rFonts w:hint="eastAsia" w:ascii="仿宋_GB2312" w:hAnsi="仿宋_GB2312" w:eastAsia="仿宋_GB2312" w:cs="仿宋_GB2312"/>
                <w:bCs/>
                <w:spacing w:val="6"/>
                <w:szCs w:val="28"/>
                <w:lang w:val="en-US"/>
              </w:rPr>
              <w:t>18519040021</w:t>
            </w:r>
          </w:p>
        </w:tc>
      </w:tr>
    </w:tbl>
    <w:p w14:paraId="43CA11D9">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E3B3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7FC0CD1">
            <w:pPr>
              <w:adjustRightInd w:val="0"/>
              <w:snapToGrid w:val="0"/>
              <w:spacing w:line="560" w:lineRule="exact"/>
              <w:jc w:val="center"/>
              <w:rPr>
                <w:rFonts w:hint="eastAsia" w:ascii="楷体_GB2312" w:hAnsi="楷体_GB2312" w:eastAsia="楷体_GB2312" w:cs="楷体_GB2312"/>
                <w:color w:val="000000"/>
                <w:sz w:val="28"/>
                <w:szCs w:val="28"/>
              </w:rPr>
            </w:pPr>
            <w:bookmarkStart w:id="0" w:name="_Hlk219714452"/>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B1399E">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基于多模态情感</w:t>
            </w:r>
            <w:r>
              <w:rPr>
                <w:rFonts w:hint="eastAsia" w:ascii="仿宋_GB2312" w:hAnsi="仿宋_GB2312" w:eastAsia="仿宋_GB2312" w:cs="仿宋_GB2312"/>
                <w:color w:val="auto"/>
                <w:lang w:val="en-US"/>
              </w:rPr>
              <w:t>行为</w:t>
            </w:r>
            <w:r>
              <w:rPr>
                <w:rFonts w:hint="eastAsia" w:ascii="仿宋_GB2312" w:hAnsi="仿宋_GB2312" w:eastAsia="仿宋_GB2312" w:cs="仿宋_GB2312"/>
                <w:color w:val="auto"/>
              </w:rPr>
              <w:t>计算的自闭症谱系障碍（ASD）儿童社交技能个性化干预系统</w:t>
            </w:r>
          </w:p>
        </w:tc>
      </w:tr>
      <w:bookmarkEnd w:id="0"/>
      <w:tr w14:paraId="03B52C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AC8B0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A4545A5">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rPr>
              <w:t>基层社会治理、学科交叉、科技赋能</w:t>
            </w:r>
          </w:p>
        </w:tc>
      </w:tr>
      <w:tr w14:paraId="0F9C7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09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87331A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77FFF5">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自闭症谱系障碍（ASD）儿童的核心障碍之一是社交沟通与情感理解困难。当前，一线康复机构和特教学校面临两大痛点：</w:t>
            </w:r>
          </w:p>
          <w:p w14:paraId="2E31A84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5B41A9C">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1. 干预资源稀缺且成本高：一对一的个性化社交技能训练严重依赖治疗师，人力成本高，覆盖范围有限，家庭经济与时间负担沉重。</w:t>
            </w:r>
          </w:p>
          <w:p w14:paraId="15F2328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2. 训练场景刻板、泛化困难：传统干预多在固定场所进行，难以模拟复杂多变的真实社交场景，导致技能难以迁移到日常生活。</w:t>
            </w:r>
          </w:p>
          <w:p w14:paraId="120836D3">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5A03C5F2">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首都北京作为首善之区，在推动科技赋能民生、建设包容性社会方面肩负着引领责任。利用“人工智能+”技术，开发普惠、高效、可及的干预工具，是回应社会关切、解决实际民生问题的迫切需求。</w:t>
            </w:r>
          </w:p>
          <w:p w14:paraId="254E1287">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核心任务： 设计并开发一套软硬件结合的Demo或系统原型，能够通过多模态情感识别技术，为ASD儿童提供实时、个性化、游戏化的社交情感训练与反馈。</w:t>
            </w:r>
          </w:p>
          <w:p w14:paraId="50AFF53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8FE6532">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具体技术/产品目标应包括以下一个或多个方面：</w:t>
            </w:r>
          </w:p>
          <w:p w14:paraId="0EDB46D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p>
          <w:p w14:paraId="0B120C7A">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1. 多模态情绪/行为感知模块：</w:t>
            </w:r>
          </w:p>
          <w:p w14:paraId="18C13EC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能通过摄像头实时识别训练对象（儿童）的面部表情（如快乐、悲伤、愤怒、惊讶、恐惧等基本情绪）或异常行为表现。</w:t>
            </w:r>
          </w:p>
          <w:p w14:paraId="2948BFB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能通过麦克风分析语音的语调、节奏和音量，辅助判断说话时的情绪状态。</w:t>
            </w:r>
          </w:p>
          <w:p w14:paraId="7102D0B5">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（进阶）能结合简单的生物传感器（如心率手环）数据，综合判断儿童的焦虑或兴奋水平。</w:t>
            </w:r>
          </w:p>
          <w:p w14:paraId="17910BDE">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2. 自适应交互与干预引擎：</w:t>
            </w:r>
          </w:p>
          <w:p w14:paraId="762F954E">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根据识别到的儿童情绪状态，系统能动态调整训练难度或提供实时提示。例如，当系统检测到儿童在模拟“分享玩具”等场景中出现困惑表情时，自动弹出视觉提示卡片或引导语。</w:t>
            </w:r>
          </w:p>
          <w:p w14:paraId="558AFBC9">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内置多种社交场景模拟（如打招呼、轮流游戏、识别他人情绪、应对挫折等），并能根据儿童的表现数据（正确率、反应时间、情绪反应）推荐下一步训练内容。</w:t>
            </w:r>
          </w:p>
          <w:p w14:paraId="4AFA83D1">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3. 人机交互与反馈设计：</w:t>
            </w:r>
          </w:p>
          <w:p w14:paraId="7009CE46">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设计适合ASD儿童认知特点的友好、简洁、强化的交互界面（避免过度刺激）。</w:t>
            </w:r>
          </w:p>
          <w:p w14:paraId="6C18FD09">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4. 数据分析与报告模块：</w:t>
            </w:r>
          </w:p>
          <w:p w14:paraId="286537E4">
            <w:pPr>
              <w:adjustRightInd w:val="0"/>
              <w:snapToGrid w:val="0"/>
              <w:ind w:firstLine="504" w:firstLineChars="200"/>
              <w:jc w:val="both"/>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系统能记录每次训练的过程性数据，并自动生成可视化进展报告，供治疗师或家长评估训练效果、调整方案。</w:t>
            </w:r>
          </w:p>
        </w:tc>
      </w:tr>
      <w:tr w14:paraId="21468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7027A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C5D1CF">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1. 必交成果：</w:t>
            </w:r>
          </w:p>
          <w:p w14:paraId="43C56DE5">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完整的项目方案与技术报告：阐述系统设计原理、技术架构、创新点及社会应用前景。</w:t>
            </w:r>
          </w:p>
          <w:p w14:paraId="0928E773">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可运行的系统原型或功能演示Demo：展示核心功能（如情绪</w:t>
            </w:r>
            <w:r>
              <w:rPr>
                <w:rFonts w:hint="eastAsia" w:ascii="仿宋_GB2312" w:hAnsi="仿宋_GB2312" w:eastAsia="仿宋_GB2312" w:cs="仿宋_GB2312"/>
                <w:bCs/>
                <w:color w:val="auto"/>
                <w:spacing w:val="6"/>
                <w:szCs w:val="28"/>
                <w:lang w:val="en-US"/>
              </w:rPr>
              <w:t>行为</w:t>
            </w:r>
            <w:r>
              <w:rPr>
                <w:rFonts w:hint="eastAsia" w:ascii="仿宋_GB2312" w:hAnsi="仿宋_GB2312" w:eastAsia="仿宋_GB2312" w:cs="仿宋_GB2312"/>
                <w:bCs/>
                <w:color w:val="auto"/>
                <w:spacing w:val="6"/>
                <w:szCs w:val="28"/>
              </w:rPr>
              <w:t>识别、一个完整的社交场景交互流程）。</w:t>
            </w:r>
          </w:p>
          <w:p w14:paraId="3D9353AE">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针对至少一个具体社交场景（如“情绪</w:t>
            </w:r>
            <w:r>
              <w:rPr>
                <w:rFonts w:hint="eastAsia" w:ascii="仿宋_GB2312" w:hAnsi="仿宋_GB2312" w:eastAsia="仿宋_GB2312" w:cs="仿宋_GB2312"/>
                <w:bCs/>
                <w:color w:val="auto"/>
                <w:spacing w:val="6"/>
                <w:szCs w:val="28"/>
                <w:lang w:val="en-US"/>
              </w:rPr>
              <w:t>/行为</w:t>
            </w:r>
            <w:r>
              <w:rPr>
                <w:rFonts w:hint="eastAsia" w:ascii="仿宋_GB2312" w:hAnsi="仿宋_GB2312" w:eastAsia="仿宋_GB2312" w:cs="仿宋_GB2312"/>
                <w:bCs/>
                <w:color w:val="auto"/>
                <w:spacing w:val="6"/>
                <w:szCs w:val="28"/>
              </w:rPr>
              <w:t>识别”或“发起对话”）的初步有效性测试方案。</w:t>
            </w:r>
          </w:p>
          <w:p w14:paraId="53760EAB">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2. 鼓励性成果：</w:t>
            </w:r>
          </w:p>
          <w:p w14:paraId="0A3FC1F0">
            <w:pPr>
              <w:adjustRightInd w:val="0"/>
              <w:snapToGrid w:val="0"/>
              <w:ind w:firstLine="504" w:firstLineChars="200"/>
              <w:rPr>
                <w:rFonts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与北京本地一所特教学校或康复机构开展的初步用户测试报告（需附伦理说明）。</w:t>
            </w:r>
          </w:p>
          <w:p w14:paraId="16CED15C">
            <w:pPr>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产品化的初步构思及商业模式草图。</w:t>
            </w:r>
          </w:p>
        </w:tc>
      </w:tr>
      <w:tr w14:paraId="78F19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46E0E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53253DD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D9413A">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rPr>
              <w:t>以“方案可行性、商业潜力及价值呈现”为核心，按</w:t>
            </w:r>
            <w:r>
              <w:rPr>
                <w:rFonts w:ascii="仿宋_GB2312" w:hAnsi="仿宋_GB2312" w:eastAsia="仿宋_GB2312" w:cs="仿宋_GB2312"/>
                <w:bCs/>
                <w:color w:val="auto"/>
                <w:spacing w:val="6"/>
                <w:szCs w:val="28"/>
              </w:rPr>
              <w:t>100</w:t>
            </w:r>
            <w:r>
              <w:rPr>
                <w:rFonts w:hint="eastAsia" w:ascii="仿宋_GB2312" w:hAnsi="仿宋_GB2312" w:eastAsia="仿宋_GB2312" w:cs="仿宋_GB2312"/>
                <w:bCs/>
                <w:color w:val="auto"/>
                <w:spacing w:val="6"/>
                <w:szCs w:val="28"/>
              </w:rPr>
              <w:t>分制评审，具体分值分配及标准如下：</w:t>
            </w:r>
          </w:p>
          <w:p w14:paraId="1DA7EF1E">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1.</w:t>
            </w:r>
            <w:r>
              <w:rPr>
                <w:rFonts w:hint="eastAsia" w:ascii="仿宋_GB2312" w:hAnsi="仿宋_GB2312" w:eastAsia="仿宋_GB2312" w:cs="仿宋_GB2312"/>
                <w:bCs/>
                <w:color w:val="auto"/>
                <w:spacing w:val="6"/>
                <w:szCs w:val="28"/>
              </w:rPr>
              <w:t>创新性（</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分）：强调原始创意价值、跨学科融合度和思维模式突破、突出原创性知识产权取得；</w:t>
            </w:r>
          </w:p>
          <w:p w14:paraId="4E8D0958">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2.</w:t>
            </w:r>
            <w:r>
              <w:rPr>
                <w:rFonts w:hint="eastAsia" w:ascii="仿宋_GB2312" w:hAnsi="仿宋_GB2312" w:eastAsia="仿宋_GB2312" w:cs="仿宋_GB2312"/>
                <w:bCs/>
                <w:color w:val="auto"/>
                <w:spacing w:val="6"/>
                <w:szCs w:val="28"/>
              </w:rPr>
              <w:t>商业性（</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分）：强调市场需求匹配、商业模式可行性和政策导向匹配度；</w:t>
            </w:r>
          </w:p>
          <w:p w14:paraId="13AC5EB2">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3.</w:t>
            </w:r>
            <w:r>
              <w:rPr>
                <w:rFonts w:hint="eastAsia" w:ascii="仿宋_GB2312" w:hAnsi="仿宋_GB2312" w:eastAsia="仿宋_GB2312" w:cs="仿宋_GB2312"/>
                <w:bCs/>
                <w:color w:val="auto"/>
                <w:spacing w:val="6"/>
                <w:szCs w:val="28"/>
              </w:rPr>
              <w:t>方案设计（</w:t>
            </w:r>
            <w:r>
              <w:rPr>
                <w:rFonts w:ascii="仿宋_GB2312" w:hAnsi="仿宋_GB2312" w:eastAsia="仿宋_GB2312" w:cs="仿宋_GB2312"/>
                <w:bCs/>
                <w:color w:val="auto"/>
                <w:spacing w:val="6"/>
                <w:szCs w:val="28"/>
              </w:rPr>
              <w:t>25</w:t>
            </w:r>
            <w:r>
              <w:rPr>
                <w:rFonts w:hint="eastAsia" w:ascii="仿宋_GB2312" w:hAnsi="仿宋_GB2312" w:eastAsia="仿宋_GB2312" w:cs="仿宋_GB2312"/>
                <w:bCs/>
                <w:color w:val="auto"/>
                <w:spacing w:val="6"/>
                <w:szCs w:val="28"/>
              </w:rPr>
              <w:t>分）：强调方案的成熟度、可扩展性和可推广性；</w:t>
            </w:r>
          </w:p>
          <w:p w14:paraId="56B99174">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4.</w:t>
            </w:r>
            <w:r>
              <w:rPr>
                <w:rFonts w:hint="eastAsia" w:ascii="仿宋_GB2312" w:hAnsi="仿宋_GB2312" w:eastAsia="仿宋_GB2312" w:cs="仿宋_GB2312"/>
                <w:bCs/>
                <w:color w:val="auto"/>
                <w:spacing w:val="6"/>
                <w:szCs w:val="28"/>
              </w:rPr>
              <w:t>方案介绍（</w:t>
            </w:r>
            <w:r>
              <w:rPr>
                <w:rFonts w:ascii="仿宋_GB2312" w:hAnsi="仿宋_GB2312" w:eastAsia="仿宋_GB2312" w:cs="仿宋_GB2312"/>
                <w:bCs/>
                <w:color w:val="auto"/>
                <w:spacing w:val="6"/>
                <w:szCs w:val="28"/>
              </w:rPr>
              <w:t>20</w:t>
            </w:r>
            <w:r>
              <w:rPr>
                <w:rFonts w:hint="eastAsia" w:ascii="仿宋_GB2312" w:hAnsi="仿宋_GB2312" w:eastAsia="仿宋_GB2312" w:cs="仿宋_GB2312"/>
                <w:bCs/>
                <w:color w:val="auto"/>
                <w:spacing w:val="6"/>
                <w:szCs w:val="28"/>
              </w:rPr>
              <w:t>分）：强调表达逻辑、团队协作和相关产品及服务展示；</w:t>
            </w:r>
          </w:p>
          <w:p w14:paraId="27094EA4">
            <w:pPr>
              <w:overflowPunct w:val="0"/>
              <w:adjustRightInd w:val="0"/>
              <w:snapToGrid w:val="0"/>
              <w:ind w:firstLine="504" w:firstLineChars="200"/>
              <w:rPr>
                <w:rFonts w:hint="eastAsia" w:ascii="仿宋_GB2312" w:hAnsi="仿宋_GB2312" w:eastAsia="仿宋_GB2312" w:cs="仿宋_GB2312"/>
                <w:bCs/>
                <w:color w:val="auto"/>
                <w:spacing w:val="6"/>
                <w:szCs w:val="28"/>
              </w:rPr>
            </w:pPr>
            <w:r>
              <w:rPr>
                <w:rFonts w:ascii="仿宋_GB2312" w:hAnsi="仿宋_GB2312" w:eastAsia="仿宋_GB2312" w:cs="仿宋_GB2312"/>
                <w:bCs/>
                <w:color w:val="auto"/>
                <w:spacing w:val="6"/>
                <w:szCs w:val="28"/>
              </w:rPr>
              <w:t>5.</w:t>
            </w:r>
            <w:r>
              <w:rPr>
                <w:rFonts w:hint="eastAsia" w:ascii="仿宋_GB2312" w:hAnsi="仿宋_GB2312" w:eastAsia="仿宋_GB2312" w:cs="仿宋_GB2312"/>
                <w:bCs/>
                <w:color w:val="auto"/>
                <w:spacing w:val="6"/>
                <w:szCs w:val="28"/>
              </w:rPr>
              <w:t>价值呈现（</w:t>
            </w:r>
            <w:r>
              <w:rPr>
                <w:rFonts w:ascii="仿宋_GB2312" w:hAnsi="仿宋_GB2312" w:eastAsia="仿宋_GB2312" w:cs="仿宋_GB2312"/>
                <w:bCs/>
                <w:color w:val="auto"/>
                <w:spacing w:val="6"/>
                <w:szCs w:val="28"/>
              </w:rPr>
              <w:t>15</w:t>
            </w:r>
            <w:r>
              <w:rPr>
                <w:rFonts w:hint="eastAsia" w:ascii="仿宋_GB2312" w:hAnsi="仿宋_GB2312" w:eastAsia="仿宋_GB2312" w:cs="仿宋_GB2312"/>
                <w:bCs/>
                <w:color w:val="auto"/>
                <w:spacing w:val="6"/>
                <w:szCs w:val="28"/>
              </w:rPr>
              <w:t>分）：强调社会价值、公益价值、教育价值和拓展就业等价值。</w:t>
            </w:r>
          </w:p>
        </w:tc>
      </w:tr>
      <w:tr w14:paraId="60854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6EDD87">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E3B868">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3C8E7CC">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270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C28B9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EAF18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我单位将为参赛团队提供全方位的指导帮助和支持。以下是我们为参赛团队提供的指导帮助等详细方案：</w:t>
            </w:r>
          </w:p>
          <w:p w14:paraId="2D3F7D1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开展实地参观：我们将安排参赛团队参观特殊人群照护基地，以便他们更好地了解行业现状、发展趋势和应用前景。参观时间初步定于比赛前两个月，具体时间将根据参赛团队的需求和实际情况进行调整。</w:t>
            </w:r>
          </w:p>
          <w:p w14:paraId="50590E5A">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推动产教融合：本公司将积极与相关企业、学校和政府部门合作，推动产教融合，为参赛团队提供更多实践机会和资</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源。在赛事进程中将邀请行业专家和企业代表参加比赛评审和讲座活动，为参赛团队提供更多学习机会。</w:t>
            </w:r>
          </w:p>
        </w:tc>
      </w:tr>
      <w:tr w14:paraId="54756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F6937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F390E0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B01FF2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3C5E00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3343C3B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1.针对“擂主”团队，开展后期项目落地及创业实践。</w:t>
            </w:r>
          </w:p>
          <w:p w14:paraId="67052F7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2.为部分优秀获奖团队提供线下实习工作机会，并由本单位出具实习证明。</w:t>
            </w:r>
          </w:p>
        </w:tc>
      </w:tr>
    </w:tbl>
    <w:p w14:paraId="3DEB08D3">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2BB3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C250194">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795DA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题目鼓励特殊教育、心理学、医学、计算机科学、工程设计等多学科团队协作，以及企业与科研院所、医疗机构、特教机构、家长组织的深度融合。通过多学科和多组织的融合与写作，用科技与人文力量温暖每一个特殊儿童及其家庭，为我国公益事业发展贡献关键力量。</w:t>
            </w:r>
          </w:p>
        </w:tc>
      </w:tr>
      <w:tr w14:paraId="05EDE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DAF45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1CDC4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本选题的成功实践，将产生深远且多层次的经济社会效益，其价值不仅限于直接受益群体，更将辐射至家庭、公共服务体系及整个社会创新生态。</w:t>
            </w:r>
          </w:p>
          <w:p w14:paraId="6C498E51">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对于个体而言，能够通过方案实施提升生活质量，对于家庭而言，能够减轻照护负担；对于教育科研而言，能够深度促进学科融合；对于社会发展而言，能够提升社会大众对于该群体的包容度。综上，本选题能够实现</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个体</w:t>
            </w:r>
            <w:bookmarkStart w:id="1" w:name="OLE_LINK63"/>
            <w:r>
              <w:rPr>
                <w:rFonts w:hint="eastAsia" w:ascii="仿宋_GB2312" w:hAnsi="仿宋_GB2312" w:eastAsia="仿宋_GB2312" w:cs="仿宋_GB2312"/>
                <w:bCs/>
                <w:color w:val="000000"/>
                <w:spacing w:val="6"/>
                <w:szCs w:val="28"/>
              </w:rPr>
              <w:t>—</w:t>
            </w:r>
            <w:bookmarkEnd w:id="1"/>
            <w:r>
              <w:rPr>
                <w:rFonts w:hint="eastAsia" w:ascii="仿宋_GB2312" w:hAnsi="仿宋_GB2312" w:eastAsia="仿宋_GB2312" w:cs="仿宋_GB2312"/>
                <w:bCs/>
                <w:color w:val="000000"/>
                <w:spacing w:val="6"/>
                <w:szCs w:val="28"/>
              </w:rPr>
              <w:t>家庭—高校—社会”多方良性循环。本命题相关方案的成功实施，将在社会价值和经济效益上取得双赢，有力服务于“健康中国”和“共同富裕”的国家战略。</w:t>
            </w:r>
          </w:p>
        </w:tc>
      </w:tr>
    </w:tbl>
    <w:p w14:paraId="757BE899">
      <w:pPr>
        <w:rPr>
          <w:rFonts w:hint="eastAsia" w:ascii="楷体_GB2312" w:hAnsi="楷体_GB2312" w:eastAsia="楷体_GB2312" w:cs="楷体_GB2312"/>
        </w:rPr>
      </w:pPr>
      <w:r>
        <w:rPr>
          <w:rFonts w:hint="eastAsia" w:ascii="楷体_GB2312" w:hAnsi="楷体_GB2312" w:eastAsia="楷体_GB2312" w:cs="楷体_GB2312"/>
        </w:rPr>
        <w:br w:type="page"/>
      </w:r>
    </w:p>
    <w:p w14:paraId="4CA644B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1288E5F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4</w:t>
      </w:r>
    </w:p>
    <w:p w14:paraId="5F6D2FF7">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F7EDF07">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6BA0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0702ED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932" w:type="dxa"/>
            <w:gridSpan w:val="3"/>
            <w:vAlign w:val="center"/>
          </w:tcPr>
          <w:p w14:paraId="2BFD09EB">
            <w:pPr>
              <w:rPr>
                <w:rFonts w:eastAsia="仿宋_GB2312"/>
              </w:rPr>
            </w:pPr>
            <w:r>
              <w:rPr>
                <w:rFonts w:hint="eastAsia" w:eastAsia="仿宋_GB2312"/>
              </w:rPr>
              <w:t>北汽福田汽车股份有限公司</w:t>
            </w:r>
          </w:p>
        </w:tc>
      </w:tr>
      <w:tr w14:paraId="2911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F99A2D3">
            <w:pPr>
              <w:adjustRightInd w:val="0"/>
              <w:snapToGrid w:val="0"/>
              <w:spacing w:line="560" w:lineRule="exact"/>
              <w:jc w:val="center"/>
              <w:rPr>
                <w:rFonts w:hint="eastAsia" w:ascii="楷体_GB2312" w:hAnsi="楷体_GB2312" w:eastAsia="楷体_GB2312" w:cs="楷体_GB2312"/>
                <w:b w:val="0"/>
                <w:color w:val="000000"/>
                <w:sz w:val="28"/>
                <w:szCs w:val="28"/>
                <w:lang w:val="en-US"/>
              </w:rPr>
            </w:pPr>
            <w:r>
              <w:rPr>
                <w:rFonts w:hint="eastAsia" w:ascii="楷体_GB2312" w:hAnsi="楷体_GB2312" w:eastAsia="楷体_GB2312" w:cs="楷体_GB2312"/>
                <w:b w:val="0"/>
                <w:color w:val="000000"/>
                <w:sz w:val="28"/>
                <w:szCs w:val="28"/>
                <w:lang w:val="en-US"/>
              </w:rPr>
              <w:t>单位类型</w:t>
            </w:r>
          </w:p>
        </w:tc>
        <w:tc>
          <w:tcPr>
            <w:tcW w:w="6932" w:type="dxa"/>
            <w:gridSpan w:val="3"/>
            <w:vAlign w:val="center"/>
          </w:tcPr>
          <w:p w14:paraId="180DCA50">
            <w:pPr>
              <w:rPr>
                <w:rFonts w:eastAsia="仿宋_GB2312"/>
                <w:lang w:val="en-US"/>
              </w:rPr>
            </w:pPr>
            <w:r>
              <w:rPr>
                <w:rFonts w:hint="eastAsia" w:eastAsia="仿宋_GB2312"/>
                <w:lang w:val="en-US"/>
              </w:rPr>
              <w:t>地方国企</w:t>
            </w:r>
          </w:p>
        </w:tc>
      </w:tr>
      <w:tr w14:paraId="6B69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6673FA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932" w:type="dxa"/>
            <w:gridSpan w:val="3"/>
            <w:vAlign w:val="center"/>
          </w:tcPr>
          <w:p w14:paraId="2DED10BF">
            <w:pPr>
              <w:rPr>
                <w:rFonts w:eastAsia="仿宋_GB2312"/>
              </w:rPr>
            </w:pPr>
            <w:r>
              <w:rPr>
                <w:rFonts w:hint="eastAsia" w:eastAsia="仿宋_GB2312"/>
              </w:rPr>
              <w:t>北京市昌平区沙河镇沙阳路</w:t>
            </w:r>
          </w:p>
        </w:tc>
      </w:tr>
      <w:tr w14:paraId="7E03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F2D05B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单位</w:t>
            </w:r>
            <w:r>
              <w:rPr>
                <w:rFonts w:hint="eastAsia" w:ascii="楷体_GB2312" w:hAnsi="楷体_GB2312" w:eastAsia="楷体_GB2312" w:cs="楷体_GB2312"/>
                <w:b w:val="0"/>
                <w:color w:val="000000"/>
                <w:sz w:val="28"/>
                <w:szCs w:val="28"/>
              </w:rPr>
              <w:t>简介</w:t>
            </w:r>
          </w:p>
        </w:tc>
        <w:tc>
          <w:tcPr>
            <w:tcW w:w="6932" w:type="dxa"/>
            <w:gridSpan w:val="3"/>
            <w:vAlign w:val="center"/>
          </w:tcPr>
          <w:p w14:paraId="0FB74D0D">
            <w:pPr>
              <w:rPr>
                <w:rFonts w:eastAsia="仿宋_GB2312"/>
              </w:rPr>
            </w:pPr>
            <w:r>
              <w:rPr>
                <w:rFonts w:hint="eastAsia" w:eastAsia="仿宋_GB2312"/>
                <w:lang w:val="en-US"/>
              </w:rPr>
              <w:t>北汽福田汽车股份有限公司（以下简称“北汽福田”）成立于</w:t>
            </w:r>
            <w:r>
              <w:rPr>
                <w:rFonts w:eastAsia="仿宋_GB2312"/>
                <w:lang w:val="en-US"/>
              </w:rPr>
              <w:t>1996</w:t>
            </w:r>
            <w:r>
              <w:rPr>
                <w:rFonts w:hint="eastAsia" w:eastAsia="仿宋_GB2312"/>
                <w:lang w:val="en-US"/>
              </w:rPr>
              <w:t>年</w:t>
            </w:r>
            <w:r>
              <w:rPr>
                <w:rFonts w:eastAsia="仿宋_GB2312"/>
                <w:lang w:val="en-US"/>
              </w:rPr>
              <w:t>8</w:t>
            </w:r>
            <w:r>
              <w:rPr>
                <w:rFonts w:hint="eastAsia" w:eastAsia="仿宋_GB2312"/>
                <w:lang w:val="en-US"/>
              </w:rPr>
              <w:t>月</w:t>
            </w:r>
            <w:r>
              <w:rPr>
                <w:rFonts w:eastAsia="仿宋_GB2312"/>
                <w:lang w:val="en-US"/>
              </w:rPr>
              <w:t>28</w:t>
            </w:r>
            <w:r>
              <w:rPr>
                <w:rFonts w:hint="eastAsia" w:eastAsia="仿宋_GB2312"/>
                <w:lang w:val="en-US"/>
              </w:rPr>
              <w:t>日，隶属于北汽集团，是北京市属国有企业。</w:t>
            </w:r>
            <w:r>
              <w:rPr>
                <w:rFonts w:eastAsia="仿宋_GB2312"/>
                <w:lang w:val="en-US"/>
              </w:rPr>
              <w:t>1998</w:t>
            </w:r>
            <w:r>
              <w:rPr>
                <w:rFonts w:hint="eastAsia" w:eastAsia="仿宋_GB2312"/>
                <w:lang w:val="en-US"/>
              </w:rPr>
              <w:t>年在上海证券交易所上市，是中国品种最全、规模最大的商用车企业。北汽福田于</w:t>
            </w:r>
            <w:r>
              <w:rPr>
                <w:rFonts w:eastAsia="仿宋_GB2312"/>
                <w:lang w:val="en-US"/>
              </w:rPr>
              <w:t>2021</w:t>
            </w:r>
            <w:r>
              <w:rPr>
                <w:rFonts w:hint="eastAsia" w:eastAsia="仿宋_GB2312"/>
                <w:lang w:val="en-US"/>
              </w:rPr>
              <w:t>年成为中国汽车工业史上首个销量突破千万辆的商</w:t>
            </w:r>
            <w:r>
              <w:rPr>
                <w:rFonts w:hint="eastAsia" w:ascii="Times New Roman" w:hAnsi="Times New Roman" w:eastAsia="仿宋_GB2312" w:cs="Times New Roman"/>
                <w:lang w:val="en-US"/>
              </w:rPr>
              <w:t>用车企、中国首个千万级“双自主”商用车企，也是全球突破千万销量用时最短的商用车企。北汽福田产品和服务覆盖全球130个国家和地区，连续20年位居中国商用车行业销量第一，连续14年海</w:t>
            </w:r>
            <w:r>
              <w:rPr>
                <w:rFonts w:hint="eastAsia" w:eastAsia="仿宋_GB2312"/>
                <w:lang w:val="en-US"/>
              </w:rPr>
              <w:t>外出口销量第一</w:t>
            </w:r>
            <w:r>
              <w:rPr>
                <w:rFonts w:hint="eastAsia" w:eastAsia="仿宋_GB2312"/>
                <w:lang w:val="en-US" w:eastAsia="zh-CN"/>
              </w:rPr>
              <w:t>。</w:t>
            </w:r>
          </w:p>
        </w:tc>
      </w:tr>
      <w:tr w14:paraId="1526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D96BE9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联系人</w:t>
            </w:r>
          </w:p>
        </w:tc>
        <w:tc>
          <w:tcPr>
            <w:tcW w:w="3076" w:type="dxa"/>
            <w:vAlign w:val="center"/>
          </w:tcPr>
          <w:p w14:paraId="3D433583">
            <w:pPr>
              <w:rPr>
                <w:rFonts w:hint="eastAsia" w:ascii="Times New Roman" w:hAnsi="Times New Roman" w:eastAsia="仿宋_GB2312" w:cs="Times New Roman"/>
                <w:lang w:val="en-US"/>
              </w:rPr>
            </w:pPr>
            <w:r>
              <w:rPr>
                <w:rFonts w:hint="eastAsia" w:ascii="Times New Roman" w:hAnsi="Times New Roman" w:eastAsia="仿宋_GB2312" w:cs="Times New Roman"/>
                <w:lang w:val="en-US"/>
              </w:rPr>
              <w:t>张健</w:t>
            </w:r>
          </w:p>
        </w:tc>
        <w:tc>
          <w:tcPr>
            <w:tcW w:w="1073" w:type="dxa"/>
            <w:vAlign w:val="center"/>
          </w:tcPr>
          <w:p w14:paraId="6A4B86A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83" w:type="dxa"/>
            <w:vAlign w:val="center"/>
          </w:tcPr>
          <w:p w14:paraId="7A94F47B">
            <w:pPr>
              <w:rPr>
                <w:rFonts w:eastAsia="方正仿宋简体"/>
              </w:rPr>
            </w:pPr>
            <w:r>
              <w:rPr>
                <w:rFonts w:hint="eastAsia" w:eastAsia="方正仿宋简体"/>
              </w:rPr>
              <w:t>高级经理</w:t>
            </w:r>
          </w:p>
        </w:tc>
      </w:tr>
      <w:tr w14:paraId="2145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DA7E6CA">
            <w:pPr>
              <w:adjustRightInd w:val="0"/>
              <w:snapToGrid w:val="0"/>
              <w:spacing w:line="560" w:lineRule="exact"/>
              <w:jc w:val="center"/>
              <w:rPr>
                <w:rFonts w:hint="eastAsia" w:ascii="楷体_GB2312" w:hAnsi="楷体_GB2312" w:eastAsia="楷体_GB2312" w:cs="楷体_GB2312"/>
                <w:b w:val="0"/>
                <w:color w:val="000000"/>
                <w:sz w:val="28"/>
                <w:szCs w:val="28"/>
                <w:lang w:val="en-US"/>
              </w:rPr>
            </w:pPr>
            <w:r>
              <w:rPr>
                <w:rFonts w:hint="eastAsia" w:ascii="楷体_GB2312" w:hAnsi="楷体_GB2312" w:eastAsia="楷体_GB2312" w:cs="楷体_GB2312"/>
                <w:b w:val="0"/>
                <w:color w:val="000000"/>
                <w:sz w:val="28"/>
                <w:szCs w:val="28"/>
                <w:lang w:val="en-US"/>
              </w:rPr>
              <w:t>联系方式</w:t>
            </w:r>
          </w:p>
        </w:tc>
        <w:tc>
          <w:tcPr>
            <w:tcW w:w="3076" w:type="dxa"/>
            <w:vAlign w:val="center"/>
          </w:tcPr>
          <w:p w14:paraId="425131A2">
            <w:pPr>
              <w:rPr>
                <w:rFonts w:hint="eastAsia" w:ascii="Times New Roman" w:hAnsi="Times New Roman" w:eastAsia="仿宋_GB2312" w:cs="Times New Roman"/>
                <w:lang w:val="en-US"/>
              </w:rPr>
            </w:pPr>
            <w:r>
              <w:rPr>
                <w:rFonts w:hint="eastAsia" w:ascii="Times New Roman" w:hAnsi="Times New Roman" w:eastAsia="仿宋_GB2312" w:cs="Times New Roman"/>
                <w:lang w:val="en-US"/>
              </w:rPr>
              <w:t>18611685862</w:t>
            </w:r>
          </w:p>
        </w:tc>
        <w:tc>
          <w:tcPr>
            <w:tcW w:w="1073" w:type="dxa"/>
            <w:vAlign w:val="center"/>
          </w:tcPr>
          <w:p w14:paraId="7AC3BF6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83" w:type="dxa"/>
            <w:vAlign w:val="center"/>
          </w:tcPr>
          <w:p w14:paraId="3D74244A">
            <w:pPr>
              <w:rPr>
                <w:rFonts w:eastAsia="方正仿宋简体"/>
              </w:rPr>
            </w:pPr>
            <w:r>
              <w:rPr>
                <w:rFonts w:hint="eastAsia" w:eastAsia="方正仿宋简体"/>
              </w:rPr>
              <w:t>18611685862</w:t>
            </w:r>
          </w:p>
        </w:tc>
      </w:tr>
    </w:tbl>
    <w:p w14:paraId="6148CA71">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7CD8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45845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D84783">
            <w:pPr>
              <w:rPr>
                <w:rFonts w:eastAsia="仿宋_GB2312"/>
              </w:rPr>
            </w:pPr>
            <w:r>
              <w:rPr>
                <w:rFonts w:hint="eastAsia" w:eastAsia="仿宋_GB2312"/>
              </w:rPr>
              <w:t>新型模块化线控底盘架构设计与应用</w:t>
            </w:r>
          </w:p>
        </w:tc>
      </w:tr>
      <w:tr w14:paraId="19E3D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3E6A9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C1D77">
            <w:pPr>
              <w:rPr>
                <w:rFonts w:eastAsia="仿宋_GB2312"/>
              </w:rPr>
            </w:pPr>
            <w:r>
              <w:rPr>
                <w:rFonts w:hint="eastAsia" w:eastAsia="仿宋_GB2312"/>
              </w:rPr>
              <w:t>新能源汽车；智能汽车与自动驾驶；汽车电子与电控系统；控制科学与工程；机械工程与车辆工程</w:t>
            </w:r>
          </w:p>
        </w:tc>
      </w:tr>
      <w:tr w14:paraId="1DFEB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712AC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DBAC23">
            <w:pPr>
              <w:rPr>
                <w:rFonts w:eastAsia="仿宋_GB2312"/>
                <w:lang w:val="en-US"/>
              </w:rPr>
            </w:pPr>
            <w:r>
              <w:rPr>
                <w:rFonts w:hint="eastAsia" w:eastAsia="仿宋_GB2312"/>
                <w:lang w:val="en-US"/>
              </w:rPr>
              <w:t>电动化、智能化成为汽车产业主流的发展趋势，底盘作为车辆运动的核心载体，亟需突破传统机械架构的局限，向高度集成化、智能化方向演进，新型线控底盘架构成为了新一轮的研究焦点。</w:t>
            </w:r>
          </w:p>
          <w:p w14:paraId="0767BE5E">
            <w:pPr>
              <w:rPr>
                <w:rFonts w:eastAsia="仿宋_GB2312"/>
                <w:lang w:val="en-US"/>
              </w:rPr>
            </w:pPr>
            <w:r>
              <w:rPr>
                <w:rFonts w:hint="eastAsia" w:eastAsia="仿宋_GB2312"/>
                <w:lang w:val="en-US"/>
              </w:rPr>
              <w:t>滑板底盘、角模块底盘等模块化线控底盘均以高度集成化和灵活适配性为核心优势，通过技术革新重构传统汽车制造逻辑，兼容多种车型和场景需求。然而，现有模块化线控底盘技术仍然面临三大难题：</w:t>
            </w:r>
            <w:r>
              <w:rPr>
                <w:rFonts w:eastAsia="仿宋_GB2312"/>
                <w:lang w:val="en-US"/>
              </w:rPr>
              <w:t>1</w:t>
            </w:r>
            <w:r>
              <w:rPr>
                <w:rFonts w:hint="eastAsia" w:eastAsia="仿宋_GB2312"/>
                <w:lang w:val="en-US"/>
              </w:rPr>
              <w:t>）构型优选难题：如何优选模块化行驶单元构型，兼顾底盘集成度、支撑刚度；</w:t>
            </w:r>
            <w:r>
              <w:rPr>
                <w:rFonts w:eastAsia="仿宋_GB2312"/>
                <w:lang w:val="en-US"/>
              </w:rPr>
              <w:t>2</w:t>
            </w:r>
            <w:r>
              <w:rPr>
                <w:rFonts w:hint="eastAsia" w:eastAsia="仿宋_GB2312"/>
                <w:lang w:val="en-US"/>
              </w:rPr>
              <w:t>）功能解耦设计：如何解决多系统功能耦合冲突问题，提升底盘运动自由度，实现车辆多模态运动；</w:t>
            </w:r>
            <w:r>
              <w:rPr>
                <w:rFonts w:eastAsia="仿宋_GB2312"/>
                <w:lang w:val="en-US"/>
              </w:rPr>
              <w:t>3</w:t>
            </w:r>
            <w:r>
              <w:rPr>
                <w:rFonts w:hint="eastAsia" w:eastAsia="仿宋_GB2312"/>
                <w:lang w:val="en-US"/>
              </w:rPr>
              <w:t>）协同控制技术：如何实现多维协同控制，提升底盘运动适应性，拓宽多种工况下车辆整体性能边界。</w:t>
            </w:r>
          </w:p>
          <w:p w14:paraId="264AF64B">
            <w:pPr>
              <w:rPr>
                <w:rFonts w:eastAsia="仿宋_GB2312"/>
                <w:bCs/>
                <w:lang w:val="en-US"/>
              </w:rPr>
            </w:pPr>
            <w:r>
              <w:rPr>
                <w:rFonts w:hint="eastAsia" w:eastAsia="仿宋_GB2312"/>
                <w:lang w:val="en-US"/>
              </w:rPr>
              <w:t>因此，本题目以模块化线控底盘为研究对象，期望解决模块化行驶单元构型优选、执行系统功能解耦设计及智能协同控制技术问题，为新能源汽车提供更高效、智能的移动平台，助力我国在全球汽车产业竞争中占据先发优势。</w:t>
            </w:r>
          </w:p>
        </w:tc>
      </w:tr>
      <w:tr w14:paraId="37398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266EB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F69EA9">
            <w:pPr>
              <w:rPr>
                <w:rFonts w:eastAsia="仿宋_GB2312"/>
              </w:rPr>
            </w:pPr>
            <w:r>
              <w:rPr>
                <w:rFonts w:hint="eastAsia" w:eastAsia="仿宋_GB2312"/>
              </w:rPr>
              <w:t>一、作品形式</w:t>
            </w:r>
          </w:p>
          <w:p w14:paraId="4D31AAFC">
            <w:pPr>
              <w:rPr>
                <w:rFonts w:eastAsia="仿宋_GB2312"/>
              </w:rPr>
            </w:pPr>
            <w:r>
              <w:rPr>
                <w:rFonts w:hint="eastAsia" w:eastAsia="仿宋_GB2312"/>
                <w:lang w:eastAsia="zh-CN"/>
              </w:rPr>
              <w:t>1.</w:t>
            </w:r>
            <w:r>
              <w:rPr>
                <w:rFonts w:hint="eastAsia" w:eastAsia="仿宋_GB2312"/>
              </w:rPr>
              <w:t>材料文档：内容包括但不限于作品技术报告、作品展示（包括但不限于视频、模型展示）等文档。</w:t>
            </w:r>
          </w:p>
          <w:p w14:paraId="05796D7A">
            <w:pPr>
              <w:rPr>
                <w:rFonts w:eastAsia="仿宋_GB2312"/>
              </w:rPr>
            </w:pPr>
            <w:r>
              <w:rPr>
                <w:rFonts w:hint="eastAsia" w:eastAsia="仿宋_GB2312"/>
                <w:lang w:eastAsia="zh-CN"/>
              </w:rPr>
              <w:t>2.</w:t>
            </w:r>
            <w:r>
              <w:rPr>
                <w:rFonts w:hint="eastAsia" w:eastAsia="仿宋_GB2312"/>
              </w:rPr>
              <w:t>软件模块：作品的源代码、仿真模型等，完成作品模型在环仿真验证，确保程序可运行。</w:t>
            </w:r>
          </w:p>
          <w:p w14:paraId="1E699253">
            <w:pPr>
              <w:rPr>
                <w:rFonts w:eastAsia="仿宋_GB2312"/>
              </w:rPr>
            </w:pPr>
            <w:r>
              <w:rPr>
                <w:rFonts w:hint="eastAsia" w:eastAsia="仿宋_GB2312"/>
              </w:rPr>
              <w:t>二、作品要求</w:t>
            </w:r>
          </w:p>
          <w:p w14:paraId="531F4C0C">
            <w:pPr>
              <w:rPr>
                <w:rFonts w:eastAsia="仿宋_GB2312"/>
              </w:rPr>
            </w:pPr>
            <w:r>
              <w:rPr>
                <w:rFonts w:hint="eastAsia" w:eastAsia="仿宋_GB2312"/>
                <w:lang w:eastAsia="zh-CN"/>
              </w:rPr>
              <w:t>1.</w:t>
            </w:r>
            <w:r>
              <w:rPr>
                <w:rFonts w:hint="eastAsia" w:eastAsia="仿宋_GB2312"/>
              </w:rPr>
              <w:t>参赛者需要在充分调研滑板底盘、角模块底盘等线控底盘产品及研究文献的基础上，提出模块化线控底盘架构设计方案（至少能实现原地转向、蟹行等运动模式）；</w:t>
            </w:r>
          </w:p>
          <w:p w14:paraId="72B556A7">
            <w:pPr>
              <w:rPr>
                <w:rFonts w:eastAsia="仿宋_GB2312"/>
              </w:rPr>
            </w:pPr>
            <w:r>
              <w:rPr>
                <w:rFonts w:hint="eastAsia" w:eastAsia="仿宋_GB2312"/>
                <w:lang w:eastAsia="zh-CN"/>
              </w:rPr>
              <w:t>2.</w:t>
            </w:r>
            <w:r>
              <w:rPr>
                <w:rFonts w:hint="eastAsia" w:eastAsia="仿宋_GB2312"/>
              </w:rPr>
              <w:t>参赛者需要根据设计方案制作模型、实物，并完成协同控制策略开发（包含但不限于底盘</w:t>
            </w:r>
            <w:r>
              <w:rPr>
                <w:rFonts w:eastAsia="仿宋_GB2312"/>
              </w:rPr>
              <w:t>-</w:t>
            </w:r>
            <w:r>
              <w:rPr>
                <w:rFonts w:hint="eastAsia" w:eastAsia="仿宋_GB2312"/>
              </w:rPr>
              <w:t>路面状态感知、动态运动控制技术等）；</w:t>
            </w:r>
          </w:p>
          <w:p w14:paraId="31CA2CE5">
            <w:pPr>
              <w:rPr>
                <w:rFonts w:eastAsia="仿宋_GB2312"/>
              </w:rPr>
            </w:pPr>
            <w:r>
              <w:rPr>
                <w:rFonts w:hint="eastAsia" w:eastAsia="仿宋_GB2312"/>
                <w:lang w:eastAsia="zh-CN"/>
              </w:rPr>
              <w:t>3.</w:t>
            </w:r>
            <w:r>
              <w:rPr>
                <w:rFonts w:hint="eastAsia" w:eastAsia="仿宋_GB2312"/>
              </w:rPr>
              <w:t>参赛者必须保证作品的原创性，杜绝一切抄袭或剽窃他人成果的作品参赛，参赛者应严格遵守国家有关知识产权保护的规定，不得侵犯任何第三方的知识产权或其他权利，如引发的知识产权纠纷，责任由参赛者自负；</w:t>
            </w:r>
          </w:p>
          <w:p w14:paraId="34291A25">
            <w:pPr>
              <w:rPr>
                <w:rFonts w:eastAsia="仿宋_GB2312"/>
              </w:rPr>
            </w:pPr>
            <w:r>
              <w:rPr>
                <w:rFonts w:hint="eastAsia" w:eastAsia="仿宋_GB2312"/>
                <w:lang w:eastAsia="zh-CN"/>
              </w:rPr>
              <w:t>4.</w:t>
            </w:r>
            <w:r>
              <w:rPr>
                <w:rFonts w:hint="eastAsia" w:eastAsia="仿宋_GB2312"/>
              </w:rPr>
              <w:t>参赛作品提交的材料原则上不予退还，请参赛者自行保存底稿。作品已获得国际竞赛、国家级奖励和其他全国性竞赛获奖作品的，不在申报作品范围之列。</w:t>
            </w:r>
          </w:p>
          <w:p w14:paraId="27DCC5D3">
            <w:pPr>
              <w:rPr>
                <w:rFonts w:eastAsia="仿宋_GB2312"/>
              </w:rPr>
            </w:pPr>
            <w:r>
              <w:rPr>
                <w:rFonts w:hint="eastAsia" w:eastAsia="仿宋_GB2312"/>
              </w:rPr>
              <w:t>三、时间要求</w:t>
            </w:r>
          </w:p>
          <w:p w14:paraId="18EEAC88">
            <w:pPr>
              <w:rPr>
                <w:rFonts w:eastAsia="仿宋_GB2312"/>
              </w:rPr>
            </w:pPr>
            <w:r>
              <w:rPr>
                <w:rFonts w:eastAsia="仿宋_GB2312"/>
              </w:rPr>
              <w:t>2026</w:t>
            </w:r>
            <w:r>
              <w:rPr>
                <w:rFonts w:hint="eastAsia" w:eastAsia="仿宋_GB2312"/>
              </w:rPr>
              <w:t>年</w:t>
            </w:r>
            <w:r>
              <w:rPr>
                <w:rFonts w:eastAsia="仿宋_GB2312"/>
              </w:rPr>
              <w:t>3</w:t>
            </w:r>
            <w:r>
              <w:rPr>
                <w:rFonts w:hint="eastAsia" w:eastAsia="仿宋_GB2312"/>
              </w:rPr>
              <w:t>月</w:t>
            </w:r>
            <w:r>
              <w:rPr>
                <w:rFonts w:eastAsia="仿宋_GB2312"/>
              </w:rPr>
              <w:t>-2026</w:t>
            </w:r>
            <w:r>
              <w:rPr>
                <w:rFonts w:hint="eastAsia" w:eastAsia="仿宋_GB2312"/>
              </w:rPr>
              <w:t>年</w:t>
            </w:r>
            <w:r>
              <w:rPr>
                <w:rFonts w:eastAsia="仿宋_GB2312"/>
              </w:rPr>
              <w:t>5</w:t>
            </w:r>
            <w:r>
              <w:rPr>
                <w:rFonts w:hint="eastAsia" w:eastAsia="仿宋_GB2312"/>
              </w:rPr>
              <w:t>月，各参赛团队选择榜单中的题目开展研发攻关，</w:t>
            </w:r>
            <w:r>
              <w:rPr>
                <w:rFonts w:eastAsia="仿宋_GB2312"/>
              </w:rPr>
              <w:t>5</w:t>
            </w:r>
            <w:r>
              <w:rPr>
                <w:rFonts w:hint="eastAsia" w:eastAsia="仿宋_GB2312"/>
              </w:rPr>
              <w:t>月</w:t>
            </w:r>
            <w:r>
              <w:rPr>
                <w:rFonts w:eastAsia="仿宋_GB2312"/>
              </w:rPr>
              <w:t>31</w:t>
            </w:r>
            <w:r>
              <w:rPr>
                <w:rFonts w:hint="eastAsia" w:eastAsia="仿宋_GB2312"/>
              </w:rPr>
              <w:t>日前向组委会提交作品，</w:t>
            </w:r>
            <w:r>
              <w:rPr>
                <w:rFonts w:eastAsia="仿宋_GB2312"/>
              </w:rPr>
              <w:t>5-6</w:t>
            </w:r>
            <w:r>
              <w:rPr>
                <w:rFonts w:hint="eastAsia" w:eastAsia="仿宋_GB2312"/>
              </w:rPr>
              <w:t>月组委会和出题单位共同开展评审，获得“特等奖”的团队参加现场擂台赛决出擂主。</w:t>
            </w:r>
          </w:p>
        </w:tc>
      </w:tr>
      <w:tr w14:paraId="702CBF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14A01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15FE143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A1389C">
            <w:pPr>
              <w:rPr>
                <w:rFonts w:eastAsia="仿宋_GB2312"/>
              </w:rPr>
            </w:pPr>
            <w:r>
              <w:rPr>
                <w:rFonts w:hint="eastAsia" w:eastAsia="仿宋_GB2312"/>
              </w:rPr>
              <w:t>评委主要按照作品立项合理性、作品完整性、指标先进性和作品创新性</w:t>
            </w:r>
            <w:r>
              <w:rPr>
                <w:rFonts w:eastAsia="仿宋_GB2312"/>
              </w:rPr>
              <w:t>4</w:t>
            </w:r>
            <w:r>
              <w:rPr>
                <w:rFonts w:hint="eastAsia" w:eastAsia="仿宋_GB2312"/>
              </w:rPr>
              <w:t>个方面进行综合评价。</w:t>
            </w:r>
          </w:p>
          <w:p w14:paraId="070576F1">
            <w:pPr>
              <w:rPr>
                <w:rFonts w:eastAsia="仿宋_GB2312"/>
              </w:rPr>
            </w:pPr>
            <w:r>
              <w:rPr>
                <w:rFonts w:hint="eastAsia" w:eastAsia="仿宋_GB2312"/>
              </w:rPr>
              <w:t>一、立项合理性：</w:t>
            </w:r>
            <w:r>
              <w:rPr>
                <w:rFonts w:eastAsia="仿宋_GB2312"/>
              </w:rPr>
              <w:t>25</w:t>
            </w:r>
            <w:r>
              <w:rPr>
                <w:rFonts w:hint="eastAsia" w:eastAsia="仿宋_GB2312"/>
              </w:rPr>
              <w:t>分</w:t>
            </w:r>
          </w:p>
          <w:p w14:paraId="77B0ACDA">
            <w:pPr>
              <w:rPr>
                <w:rFonts w:eastAsia="仿宋_GB2312"/>
              </w:rPr>
            </w:pPr>
            <w:r>
              <w:rPr>
                <w:rFonts w:hint="eastAsia" w:eastAsia="仿宋_GB2312"/>
              </w:rPr>
              <w:t>针对研究过程的合理性对作品进行考察，主要从国内外研究调研分析、底盘架构方案合理性、研究思路、技术路线、可行性等五个维度进行综合评价，各维度所占分值情况如下：</w:t>
            </w:r>
          </w:p>
          <w:p w14:paraId="4FE414F7">
            <w:pPr>
              <w:rPr>
                <w:rFonts w:eastAsia="仿宋_GB2312"/>
              </w:rPr>
            </w:pPr>
            <w:r>
              <w:rPr>
                <w:rFonts w:eastAsia="仿宋_GB2312"/>
              </w:rPr>
              <w:t>1.</w:t>
            </w:r>
            <w:r>
              <w:rPr>
                <w:rFonts w:eastAsia="仿宋_GB2312"/>
              </w:rPr>
              <w:tab/>
            </w:r>
            <w:r>
              <w:rPr>
                <w:rFonts w:hint="eastAsia" w:eastAsia="仿宋_GB2312"/>
              </w:rPr>
              <w:t>国内外研究现状调研分析全面性（分值：</w:t>
            </w:r>
            <w:r>
              <w:rPr>
                <w:rFonts w:eastAsia="仿宋_GB2312"/>
              </w:rPr>
              <w:t>5</w:t>
            </w:r>
            <w:r>
              <w:rPr>
                <w:rFonts w:hint="eastAsia" w:eastAsia="仿宋_GB2312"/>
              </w:rPr>
              <w:t>分）</w:t>
            </w:r>
          </w:p>
          <w:p w14:paraId="7C05259D">
            <w:pPr>
              <w:rPr>
                <w:rFonts w:eastAsia="仿宋_GB2312"/>
              </w:rPr>
            </w:pPr>
            <w:r>
              <w:rPr>
                <w:rFonts w:eastAsia="仿宋_GB2312"/>
              </w:rPr>
              <w:t>2.</w:t>
            </w:r>
            <w:r>
              <w:rPr>
                <w:rFonts w:eastAsia="仿宋_GB2312"/>
              </w:rPr>
              <w:tab/>
            </w:r>
            <w:r>
              <w:rPr>
                <w:rFonts w:hint="eastAsia" w:eastAsia="仿宋_GB2312"/>
              </w:rPr>
              <w:t>底盘架构方案合理性（分值：</w:t>
            </w:r>
            <w:r>
              <w:rPr>
                <w:rFonts w:eastAsia="仿宋_GB2312"/>
              </w:rPr>
              <w:t>5</w:t>
            </w:r>
            <w:r>
              <w:rPr>
                <w:rFonts w:hint="eastAsia" w:eastAsia="仿宋_GB2312"/>
              </w:rPr>
              <w:t>分）</w:t>
            </w:r>
          </w:p>
          <w:p w14:paraId="6C80E8BA">
            <w:pPr>
              <w:rPr>
                <w:rFonts w:eastAsia="仿宋_GB2312"/>
              </w:rPr>
            </w:pPr>
            <w:r>
              <w:rPr>
                <w:rFonts w:eastAsia="仿宋_GB2312"/>
              </w:rPr>
              <w:t>3.</w:t>
            </w:r>
            <w:r>
              <w:rPr>
                <w:rFonts w:eastAsia="仿宋_GB2312"/>
              </w:rPr>
              <w:tab/>
            </w:r>
            <w:r>
              <w:rPr>
                <w:rFonts w:hint="eastAsia" w:eastAsia="仿宋_GB2312"/>
              </w:rPr>
              <w:t>研究思路合理性（分值：</w:t>
            </w:r>
            <w:r>
              <w:rPr>
                <w:rFonts w:eastAsia="仿宋_GB2312"/>
              </w:rPr>
              <w:t>5</w:t>
            </w:r>
            <w:r>
              <w:rPr>
                <w:rFonts w:hint="eastAsia" w:eastAsia="仿宋_GB2312"/>
              </w:rPr>
              <w:t>分）</w:t>
            </w:r>
          </w:p>
          <w:p w14:paraId="286D089B">
            <w:pPr>
              <w:rPr>
                <w:rFonts w:eastAsia="仿宋_GB2312"/>
              </w:rPr>
            </w:pPr>
            <w:r>
              <w:rPr>
                <w:rFonts w:eastAsia="仿宋_GB2312"/>
              </w:rPr>
              <w:t>4.</w:t>
            </w:r>
            <w:r>
              <w:rPr>
                <w:rFonts w:eastAsia="仿宋_GB2312"/>
              </w:rPr>
              <w:tab/>
            </w:r>
            <w:r>
              <w:rPr>
                <w:rFonts w:hint="eastAsia" w:eastAsia="仿宋_GB2312"/>
              </w:rPr>
              <w:t>技术路线可行性（分值：</w:t>
            </w:r>
            <w:r>
              <w:rPr>
                <w:rFonts w:eastAsia="仿宋_GB2312"/>
              </w:rPr>
              <w:t>5</w:t>
            </w:r>
            <w:r>
              <w:rPr>
                <w:rFonts w:hint="eastAsia" w:eastAsia="仿宋_GB2312"/>
              </w:rPr>
              <w:t>分）</w:t>
            </w:r>
          </w:p>
          <w:p w14:paraId="79EFDE79">
            <w:pPr>
              <w:rPr>
                <w:rFonts w:eastAsia="仿宋_GB2312"/>
              </w:rPr>
            </w:pPr>
            <w:r>
              <w:rPr>
                <w:rFonts w:eastAsia="仿宋_GB2312"/>
              </w:rPr>
              <w:t>5.</w:t>
            </w:r>
            <w:r>
              <w:rPr>
                <w:rFonts w:eastAsia="仿宋_GB2312"/>
              </w:rPr>
              <w:tab/>
            </w:r>
            <w:r>
              <w:rPr>
                <w:rFonts w:hint="eastAsia" w:eastAsia="仿宋_GB2312"/>
              </w:rPr>
              <w:t>工程可实现性（分值：</w:t>
            </w:r>
            <w:r>
              <w:rPr>
                <w:rFonts w:eastAsia="仿宋_GB2312"/>
              </w:rPr>
              <w:t>5</w:t>
            </w:r>
            <w:r>
              <w:rPr>
                <w:rFonts w:hint="eastAsia" w:eastAsia="仿宋_GB2312"/>
              </w:rPr>
              <w:t>分）</w:t>
            </w:r>
          </w:p>
          <w:p w14:paraId="0236C2B2">
            <w:pPr>
              <w:rPr>
                <w:rFonts w:eastAsia="仿宋_GB2312"/>
              </w:rPr>
            </w:pPr>
            <w:r>
              <w:rPr>
                <w:rFonts w:hint="eastAsia" w:eastAsia="仿宋_GB2312"/>
              </w:rPr>
              <w:t>二、作品完整性：</w:t>
            </w:r>
            <w:r>
              <w:rPr>
                <w:rFonts w:eastAsia="仿宋_GB2312"/>
              </w:rPr>
              <w:t>15</w:t>
            </w:r>
            <w:r>
              <w:rPr>
                <w:rFonts w:hint="eastAsia" w:eastAsia="仿宋_GB2312"/>
              </w:rPr>
              <w:t>分</w:t>
            </w:r>
          </w:p>
          <w:p w14:paraId="09D7C829">
            <w:pPr>
              <w:rPr>
                <w:rFonts w:eastAsia="仿宋_GB2312"/>
              </w:rPr>
            </w:pPr>
            <w:r>
              <w:rPr>
                <w:rFonts w:eastAsia="仿宋_GB2312"/>
              </w:rPr>
              <w:t>1.</w:t>
            </w:r>
            <w:r>
              <w:rPr>
                <w:rFonts w:eastAsia="仿宋_GB2312"/>
              </w:rPr>
              <w:tab/>
            </w:r>
            <w:r>
              <w:rPr>
                <w:rFonts w:hint="eastAsia" w:eastAsia="仿宋_GB2312"/>
              </w:rPr>
              <w:t>作品的源代码可以在计算机进行软件在环仿真，在硬件在环设备及实车试验中得到验证。（分值：</w:t>
            </w:r>
            <w:r>
              <w:rPr>
                <w:rFonts w:eastAsia="仿宋_GB2312"/>
              </w:rPr>
              <w:t>10</w:t>
            </w:r>
            <w:r>
              <w:rPr>
                <w:rFonts w:hint="eastAsia" w:eastAsia="仿宋_GB2312"/>
              </w:rPr>
              <w:t>分）</w:t>
            </w:r>
          </w:p>
          <w:p w14:paraId="362687CB">
            <w:pPr>
              <w:rPr>
                <w:rFonts w:eastAsia="仿宋_GB2312"/>
              </w:rPr>
            </w:pPr>
            <w:r>
              <w:rPr>
                <w:rFonts w:eastAsia="仿宋_GB2312"/>
              </w:rPr>
              <w:t>2.</w:t>
            </w:r>
            <w:r>
              <w:rPr>
                <w:rFonts w:eastAsia="仿宋_GB2312"/>
              </w:rPr>
              <w:tab/>
            </w:r>
            <w:r>
              <w:rPr>
                <w:rFonts w:hint="eastAsia" w:eastAsia="仿宋_GB2312"/>
              </w:rPr>
              <w:t>作品技术报告、作品展示等文档完整、规范。（分值：</w:t>
            </w:r>
            <w:r>
              <w:rPr>
                <w:rFonts w:eastAsia="仿宋_GB2312"/>
              </w:rPr>
              <w:t>5</w:t>
            </w:r>
            <w:r>
              <w:rPr>
                <w:rFonts w:hint="eastAsia" w:eastAsia="仿宋_GB2312"/>
              </w:rPr>
              <w:t>分）</w:t>
            </w:r>
          </w:p>
          <w:p w14:paraId="7F34385F">
            <w:pPr>
              <w:rPr>
                <w:rFonts w:eastAsia="仿宋_GB2312"/>
              </w:rPr>
            </w:pPr>
            <w:r>
              <w:rPr>
                <w:rFonts w:hint="eastAsia" w:eastAsia="仿宋_GB2312"/>
              </w:rPr>
              <w:t>三、指标先进性：</w:t>
            </w:r>
            <w:r>
              <w:rPr>
                <w:rFonts w:eastAsia="仿宋_GB2312"/>
              </w:rPr>
              <w:t>40</w:t>
            </w:r>
            <w:r>
              <w:rPr>
                <w:rFonts w:hint="eastAsia" w:eastAsia="仿宋_GB2312"/>
              </w:rPr>
              <w:t>分</w:t>
            </w:r>
          </w:p>
          <w:p w14:paraId="116389ED">
            <w:pPr>
              <w:rPr>
                <w:rFonts w:eastAsia="仿宋_GB2312"/>
              </w:rPr>
            </w:pPr>
            <w:r>
              <w:rPr>
                <w:rFonts w:eastAsia="仿宋_GB2312"/>
              </w:rPr>
              <w:t>1.</w:t>
            </w:r>
            <w:r>
              <w:rPr>
                <w:rFonts w:eastAsia="仿宋_GB2312"/>
              </w:rPr>
              <w:tab/>
            </w:r>
            <w:r>
              <w:rPr>
                <w:rFonts w:hint="eastAsia" w:eastAsia="仿宋_GB2312"/>
              </w:rPr>
              <w:t>所设计模块化行驶单元均可自由旋转、垂向独立作动、与整车单一机械接口，机构紧凑且支撑刚度好，驱动、制动、转向、悬架执行系统均能实现主动控制，搭载在至少</w:t>
            </w:r>
            <w:r>
              <w:rPr>
                <w:rFonts w:eastAsia="仿宋_GB2312"/>
              </w:rPr>
              <w:t>5</w:t>
            </w:r>
            <w:r>
              <w:rPr>
                <w:rFonts w:hint="eastAsia" w:eastAsia="仿宋_GB2312"/>
              </w:rPr>
              <w:t>款车型上（分值：</w:t>
            </w:r>
            <w:r>
              <w:rPr>
                <w:rFonts w:eastAsia="仿宋_GB2312"/>
              </w:rPr>
              <w:t>10</w:t>
            </w:r>
            <w:r>
              <w:rPr>
                <w:rFonts w:hint="eastAsia" w:eastAsia="仿宋_GB2312"/>
              </w:rPr>
              <w:t>分）</w:t>
            </w:r>
          </w:p>
          <w:p w14:paraId="32AF14DA">
            <w:pPr>
              <w:rPr>
                <w:rFonts w:eastAsia="仿宋_GB2312"/>
              </w:rPr>
            </w:pPr>
            <w:r>
              <w:rPr>
                <w:rFonts w:eastAsia="仿宋_GB2312"/>
              </w:rPr>
              <w:t xml:space="preserve">2.  </w:t>
            </w:r>
            <w:r>
              <w:rPr>
                <w:rFonts w:hint="eastAsia" w:eastAsia="仿宋_GB2312"/>
              </w:rPr>
              <w:t>模块化行驶单元各性能目标</w:t>
            </w:r>
          </w:p>
          <w:p w14:paraId="01BFBB2D">
            <w:pPr>
              <w:rPr>
                <w:rFonts w:eastAsia="仿宋_GB2312"/>
              </w:rPr>
            </w:pPr>
            <w:r>
              <w:rPr>
                <w:rFonts w:eastAsia="仿宋_GB2312"/>
              </w:rPr>
              <w:t>1</w:t>
            </w:r>
            <w:r>
              <w:rPr>
                <w:rFonts w:hint="eastAsia" w:eastAsia="仿宋_GB2312"/>
              </w:rPr>
              <w:t>）驱动性能：模块化单元轮端最大扭矩密度不低于</w:t>
            </w:r>
            <w:r>
              <w:rPr>
                <w:rFonts w:eastAsia="仿宋_GB2312"/>
              </w:rPr>
              <w:t>10Nm/kg</w:t>
            </w:r>
            <w:r>
              <w:rPr>
                <w:rFonts w:hint="eastAsia" w:eastAsia="仿宋_GB2312"/>
              </w:rPr>
              <w:t>、最大功率密度不低于</w:t>
            </w:r>
            <w:r>
              <w:rPr>
                <w:rFonts w:eastAsia="仿宋_GB2312"/>
              </w:rPr>
              <w:t>0.9kW/kg</w:t>
            </w:r>
            <w:r>
              <w:rPr>
                <w:rFonts w:hint="eastAsia" w:eastAsia="仿宋_GB2312"/>
              </w:rPr>
              <w:t>、最高效率不低于</w:t>
            </w:r>
            <w:r>
              <w:rPr>
                <w:rFonts w:eastAsia="仿宋_GB2312"/>
              </w:rPr>
              <w:t>90%</w:t>
            </w:r>
            <w:r>
              <w:rPr>
                <w:rFonts w:hint="eastAsia" w:eastAsia="仿宋_GB2312"/>
              </w:rPr>
              <w:t>、最大扭矩驱动响应时间不高于</w:t>
            </w:r>
            <w:r>
              <w:rPr>
                <w:rFonts w:eastAsia="仿宋_GB2312"/>
              </w:rPr>
              <w:t>300ms</w:t>
            </w:r>
            <w:r>
              <w:rPr>
                <w:rFonts w:hint="eastAsia" w:eastAsia="仿宋_GB2312"/>
              </w:rPr>
              <w:t>，可采用轮毂驱动或轮边驱动（分值：</w:t>
            </w:r>
            <w:r>
              <w:rPr>
                <w:rFonts w:eastAsia="仿宋_GB2312"/>
              </w:rPr>
              <w:t>5</w:t>
            </w:r>
            <w:r>
              <w:rPr>
                <w:rFonts w:hint="eastAsia" w:eastAsia="仿宋_GB2312"/>
              </w:rPr>
              <w:t>分）</w:t>
            </w:r>
          </w:p>
          <w:p w14:paraId="337C67DE">
            <w:pPr>
              <w:rPr>
                <w:rFonts w:eastAsia="仿宋_GB2312"/>
              </w:rPr>
            </w:pPr>
            <w:r>
              <w:rPr>
                <w:rFonts w:eastAsia="仿宋_GB2312"/>
              </w:rPr>
              <w:t>2</w:t>
            </w:r>
            <w:r>
              <w:rPr>
                <w:rFonts w:hint="eastAsia" w:eastAsia="仿宋_GB2312"/>
              </w:rPr>
              <w:t>）制动性能：制动组件最大制动夹紧力不低于</w:t>
            </w:r>
            <w:r>
              <w:rPr>
                <w:rFonts w:eastAsia="仿宋_GB2312"/>
              </w:rPr>
              <w:t>15000N</w:t>
            </w:r>
            <w:r>
              <w:rPr>
                <w:rFonts w:hint="eastAsia" w:eastAsia="仿宋_GB2312"/>
              </w:rPr>
              <w:t>、制动力响应时间不高于</w:t>
            </w:r>
            <w:r>
              <w:rPr>
                <w:rFonts w:eastAsia="仿宋_GB2312"/>
              </w:rPr>
              <w:t>150ms</w:t>
            </w:r>
            <w:r>
              <w:rPr>
                <w:rFonts w:hint="eastAsia" w:eastAsia="仿宋_GB2312"/>
              </w:rPr>
              <w:t>，优选电子机械制动组件（分值：</w:t>
            </w:r>
            <w:r>
              <w:rPr>
                <w:rFonts w:eastAsia="仿宋_GB2312"/>
              </w:rPr>
              <w:t>5</w:t>
            </w:r>
            <w:r>
              <w:rPr>
                <w:rFonts w:hint="eastAsia" w:eastAsia="仿宋_GB2312"/>
              </w:rPr>
              <w:t>分）</w:t>
            </w:r>
          </w:p>
          <w:p w14:paraId="46A9842B">
            <w:pPr>
              <w:rPr>
                <w:rFonts w:eastAsia="仿宋_GB2312"/>
              </w:rPr>
            </w:pPr>
            <w:r>
              <w:rPr>
                <w:rFonts w:eastAsia="仿宋_GB2312"/>
              </w:rPr>
              <w:t>3</w:t>
            </w:r>
            <w:r>
              <w:rPr>
                <w:rFonts w:hint="eastAsia" w:eastAsia="仿宋_GB2312"/>
              </w:rPr>
              <w:t>）转向性能：模块化单元可实现</w:t>
            </w:r>
            <w:r>
              <w:rPr>
                <w:rFonts w:eastAsia="仿宋_GB2312"/>
              </w:rPr>
              <w:t>90°</w:t>
            </w:r>
            <w:r>
              <w:rPr>
                <w:rFonts w:hint="eastAsia" w:eastAsia="仿宋_GB2312"/>
              </w:rPr>
              <w:t>转向，转向组件输出最大力矩应克服</w:t>
            </w:r>
            <w:r>
              <w:rPr>
                <w:rFonts w:eastAsia="仿宋_GB2312"/>
              </w:rPr>
              <w:t>0.7</w:t>
            </w:r>
            <w:r>
              <w:rPr>
                <w:rFonts w:hint="eastAsia" w:eastAsia="仿宋_GB2312"/>
              </w:rPr>
              <w:t>附着系数路面下的单轮最大载荷下的转向阻力矩、输出最高转速不低于</w:t>
            </w:r>
            <w:r>
              <w:rPr>
                <w:rFonts w:eastAsia="仿宋_GB2312"/>
              </w:rPr>
              <w:t>60°/s</w:t>
            </w:r>
            <w:r>
              <w:rPr>
                <w:rFonts w:hint="eastAsia" w:eastAsia="仿宋_GB2312"/>
              </w:rPr>
              <w:t>、输出稳态转角精度不高于±</w:t>
            </w:r>
            <w:r>
              <w:rPr>
                <w:rFonts w:eastAsia="仿宋_GB2312"/>
              </w:rPr>
              <w:t>2°</w:t>
            </w:r>
            <w:r>
              <w:rPr>
                <w:rFonts w:hint="eastAsia" w:eastAsia="仿宋_GB2312"/>
              </w:rPr>
              <w:t>、刚强度满足整车最大承载要求（分值：</w:t>
            </w:r>
            <w:r>
              <w:rPr>
                <w:rFonts w:eastAsia="仿宋_GB2312"/>
              </w:rPr>
              <w:t>5</w:t>
            </w:r>
            <w:r>
              <w:rPr>
                <w:rFonts w:hint="eastAsia" w:eastAsia="仿宋_GB2312"/>
              </w:rPr>
              <w:t>分）</w:t>
            </w:r>
          </w:p>
          <w:p w14:paraId="70405244">
            <w:pPr>
              <w:rPr>
                <w:rFonts w:eastAsia="仿宋_GB2312"/>
              </w:rPr>
            </w:pPr>
            <w:r>
              <w:rPr>
                <w:rFonts w:eastAsia="仿宋_GB2312"/>
              </w:rPr>
              <w:t>4</w:t>
            </w:r>
            <w:r>
              <w:rPr>
                <w:rFonts w:hint="eastAsia" w:eastAsia="仿宋_GB2312"/>
              </w:rPr>
              <w:t>）悬架性能：悬架行程不小于±</w:t>
            </w:r>
            <w:r>
              <w:rPr>
                <w:rFonts w:eastAsia="仿宋_GB2312"/>
              </w:rPr>
              <w:t>80mm</w:t>
            </w:r>
            <w:r>
              <w:rPr>
                <w:rFonts w:hint="eastAsia" w:eastAsia="仿宋_GB2312"/>
              </w:rPr>
              <w:t>、悬架组件刚强度满足最大承载质量要求、具备优秀的缓冲地面冲击能力，优选全主动悬架（分值：</w:t>
            </w:r>
            <w:r>
              <w:rPr>
                <w:rFonts w:eastAsia="仿宋_GB2312"/>
              </w:rPr>
              <w:t>5</w:t>
            </w:r>
            <w:r>
              <w:rPr>
                <w:rFonts w:hint="eastAsia" w:eastAsia="仿宋_GB2312"/>
              </w:rPr>
              <w:t>分）</w:t>
            </w:r>
          </w:p>
          <w:p w14:paraId="6EA0E313">
            <w:pPr>
              <w:rPr>
                <w:rFonts w:eastAsia="仿宋_GB2312"/>
              </w:rPr>
            </w:pPr>
            <w:r>
              <w:rPr>
                <w:rFonts w:eastAsia="仿宋_GB2312"/>
              </w:rPr>
              <w:t>3.</w:t>
            </w:r>
            <w:r>
              <w:rPr>
                <w:rFonts w:hint="eastAsia" w:eastAsia="仿宋_GB2312"/>
              </w:rPr>
              <w:t>所设计底盘架构支持原地转向、横向行驶、斜向行驶、四轮转向四种驾驶模式，其中原地转向掉头时间小于</w:t>
            </w:r>
            <w:r>
              <w:rPr>
                <w:rFonts w:eastAsia="仿宋_GB2312"/>
              </w:rPr>
              <w:t>8s</w:t>
            </w:r>
            <w:r>
              <w:rPr>
                <w:rFonts w:hint="eastAsia" w:eastAsia="仿宋_GB2312"/>
              </w:rPr>
              <w:t>、斜向行驶角度大于</w:t>
            </w:r>
            <w:r>
              <w:rPr>
                <w:rFonts w:eastAsia="仿宋_GB2312"/>
              </w:rPr>
              <w:t>40°</w:t>
            </w:r>
            <w:r>
              <w:rPr>
                <w:rFonts w:hint="eastAsia" w:eastAsia="仿宋_GB2312"/>
              </w:rPr>
              <w:t>、侧方停车时间小于</w:t>
            </w:r>
            <w:r>
              <w:rPr>
                <w:rFonts w:eastAsia="仿宋_GB2312"/>
              </w:rPr>
              <w:t>6s</w:t>
            </w:r>
            <w:r>
              <w:rPr>
                <w:rFonts w:hint="eastAsia" w:eastAsia="仿宋_GB2312"/>
              </w:rPr>
              <w:t>、四轮转向转弯半径小于</w:t>
            </w:r>
            <w:r>
              <w:rPr>
                <w:rFonts w:eastAsia="仿宋_GB2312"/>
              </w:rPr>
              <w:t>4.5m</w:t>
            </w:r>
            <w:r>
              <w:rPr>
                <w:rFonts w:hint="eastAsia" w:eastAsia="仿宋_GB2312"/>
              </w:rPr>
              <w:t>，城市道路工况轨迹跟踪精度</w:t>
            </w:r>
            <w:r>
              <w:rPr>
                <w:rFonts w:eastAsia="仿宋_GB2312"/>
              </w:rPr>
              <w:t>90%</w:t>
            </w:r>
            <w:r>
              <w:rPr>
                <w:rFonts w:hint="eastAsia" w:eastAsia="仿宋_GB2312"/>
              </w:rPr>
              <w:t>以上（分值：</w:t>
            </w:r>
            <w:r>
              <w:rPr>
                <w:rFonts w:eastAsia="仿宋_GB2312"/>
              </w:rPr>
              <w:t>10</w:t>
            </w:r>
            <w:r>
              <w:rPr>
                <w:rFonts w:hint="eastAsia" w:eastAsia="仿宋_GB2312"/>
              </w:rPr>
              <w:t>分）</w:t>
            </w:r>
          </w:p>
          <w:p w14:paraId="2D345128">
            <w:pPr>
              <w:rPr>
                <w:rFonts w:eastAsia="仿宋_GB2312"/>
              </w:rPr>
            </w:pPr>
            <w:r>
              <w:rPr>
                <w:rFonts w:hint="eastAsia" w:eastAsia="仿宋_GB2312"/>
              </w:rPr>
              <w:t>四、作品创新性：</w:t>
            </w:r>
            <w:r>
              <w:rPr>
                <w:rFonts w:eastAsia="仿宋_GB2312"/>
              </w:rPr>
              <w:t>20</w:t>
            </w:r>
            <w:r>
              <w:rPr>
                <w:rFonts w:hint="eastAsia" w:eastAsia="仿宋_GB2312"/>
              </w:rPr>
              <w:t>分</w:t>
            </w:r>
          </w:p>
          <w:p w14:paraId="4B1A2BBF">
            <w:pPr>
              <w:rPr>
                <w:rFonts w:eastAsia="仿宋_GB2312"/>
              </w:rPr>
            </w:pPr>
            <w:r>
              <w:rPr>
                <w:rFonts w:eastAsia="仿宋_GB2312"/>
              </w:rPr>
              <w:t>1.</w:t>
            </w:r>
            <w:r>
              <w:rPr>
                <w:rFonts w:eastAsia="仿宋_GB2312"/>
              </w:rPr>
              <w:tab/>
            </w:r>
            <w:r>
              <w:rPr>
                <w:rFonts w:hint="eastAsia" w:eastAsia="仿宋_GB2312"/>
              </w:rPr>
              <w:t>采用新理论、运用新方法对已有理论和算法进行重要完善，并完成作品，具体评分标准如下：</w:t>
            </w:r>
          </w:p>
          <w:p w14:paraId="460D0B6A">
            <w:pPr>
              <w:rPr>
                <w:rFonts w:eastAsia="仿宋_GB2312"/>
              </w:rPr>
            </w:pPr>
            <w:r>
              <w:rPr>
                <w:rFonts w:eastAsia="仿宋_GB2312"/>
              </w:rPr>
              <w:t>1</w:t>
            </w:r>
            <w:r>
              <w:rPr>
                <w:rFonts w:hint="eastAsia" w:eastAsia="仿宋_GB2312"/>
              </w:rPr>
              <w:t>）理论</w:t>
            </w:r>
            <w:r>
              <w:rPr>
                <w:rFonts w:eastAsia="仿宋_GB2312"/>
              </w:rPr>
              <w:t>/</w:t>
            </w:r>
            <w:r>
              <w:rPr>
                <w:rFonts w:hint="eastAsia" w:eastAsia="仿宋_GB2312"/>
              </w:rPr>
              <w:t>方法新颖性：在模块化底盘设计与应用方面明确提出了不同于主流方法的新思路、新算法或新架构（分值：</w:t>
            </w:r>
            <w:r>
              <w:rPr>
                <w:rFonts w:eastAsia="仿宋_GB2312"/>
              </w:rPr>
              <w:t>5</w:t>
            </w:r>
            <w:r>
              <w:rPr>
                <w:rFonts w:hint="eastAsia" w:eastAsia="仿宋_GB2312"/>
              </w:rPr>
              <w:t>分）</w:t>
            </w:r>
          </w:p>
          <w:p w14:paraId="7D7BB0DA">
            <w:pPr>
              <w:rPr>
                <w:rFonts w:eastAsia="仿宋_GB2312"/>
              </w:rPr>
            </w:pPr>
            <w:r>
              <w:rPr>
                <w:rFonts w:eastAsia="仿宋_GB2312"/>
              </w:rPr>
              <w:t>2</w:t>
            </w:r>
            <w:r>
              <w:rPr>
                <w:rFonts w:hint="eastAsia" w:eastAsia="仿宋_GB2312"/>
              </w:rPr>
              <w:t>）技术深度与难度：创新点涉及模块化单元设计方法、机构一体化设计的突破或底盘运动控制核心算法、关键模型，并且技术实现难度和工作量大（分值：</w:t>
            </w:r>
            <w:r>
              <w:rPr>
                <w:rFonts w:eastAsia="仿宋_GB2312"/>
              </w:rPr>
              <w:t>5</w:t>
            </w:r>
            <w:r>
              <w:rPr>
                <w:rFonts w:hint="eastAsia" w:eastAsia="仿宋_GB2312"/>
              </w:rPr>
              <w:t>分）</w:t>
            </w:r>
          </w:p>
          <w:p w14:paraId="0D3CA91D">
            <w:pPr>
              <w:rPr>
                <w:rFonts w:eastAsia="仿宋_GB2312"/>
              </w:rPr>
            </w:pPr>
            <w:r>
              <w:rPr>
                <w:rFonts w:eastAsia="仿宋_GB2312"/>
              </w:rPr>
              <w:t>3</w:t>
            </w:r>
            <w:r>
              <w:rPr>
                <w:rFonts w:hint="eastAsia" w:eastAsia="仿宋_GB2312"/>
              </w:rPr>
              <w:t>）性能提升与问题解决：相比现有常用的成熟方法，在底盘轨迹跟踪精度、最小转弯半径、侧向加速度、车身侧倾角、转向灵敏度、平顺性等关键运动性能指标上有显著、可证明的提升（分值：</w:t>
            </w:r>
            <w:r>
              <w:rPr>
                <w:rFonts w:eastAsia="仿宋_GB2312"/>
              </w:rPr>
              <w:t>5</w:t>
            </w:r>
            <w:r>
              <w:rPr>
                <w:rFonts w:hint="eastAsia" w:eastAsia="仿宋_GB2312"/>
              </w:rPr>
              <w:t>分）</w:t>
            </w:r>
          </w:p>
          <w:p w14:paraId="285184C4">
            <w:pPr>
              <w:rPr>
                <w:rFonts w:eastAsia="仿宋_GB2312"/>
              </w:rPr>
            </w:pPr>
            <w:r>
              <w:rPr>
                <w:rFonts w:eastAsia="仿宋_GB2312"/>
              </w:rPr>
              <w:t>4</w:t>
            </w:r>
            <w:r>
              <w:rPr>
                <w:rFonts w:hint="eastAsia" w:eastAsia="仿宋_GB2312"/>
              </w:rPr>
              <w:t>）完成度与验证：创新点在交付底盘、控制算法等作品中得到完整实现，并有充分的仿真与实验数据，进行对比验证（分值：</w:t>
            </w:r>
            <w:r>
              <w:rPr>
                <w:rFonts w:eastAsia="仿宋_GB2312"/>
              </w:rPr>
              <w:t>5</w:t>
            </w:r>
            <w:r>
              <w:rPr>
                <w:rFonts w:hint="eastAsia" w:eastAsia="仿宋_GB2312"/>
              </w:rPr>
              <w:t>分）</w:t>
            </w:r>
          </w:p>
        </w:tc>
      </w:tr>
      <w:tr w14:paraId="20B56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B49D9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A7E01A">
            <w:pPr>
              <w:rPr>
                <w:rFonts w:eastAsia="仿宋_GB2312"/>
                <w:bCs/>
                <w:spacing w:val="6"/>
                <w:szCs w:val="28"/>
              </w:rPr>
            </w:pPr>
            <w:r>
              <w:rPr>
                <w:rFonts w:hint="eastAsia" w:eastAsia="仿宋_GB2312"/>
              </w:rPr>
              <w:t>关于选题的其他提醒或相关要求说明。</w:t>
            </w:r>
          </w:p>
        </w:tc>
      </w:tr>
    </w:tbl>
    <w:p w14:paraId="1AE0F36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0AC86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179C58">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B5C1A9F">
            <w:pPr>
              <w:rPr>
                <w:rFonts w:eastAsia="仿宋_GB2312"/>
                <w:lang w:val="en-US"/>
              </w:rPr>
            </w:pPr>
            <w:r>
              <w:rPr>
                <w:rFonts w:hint="eastAsia" w:eastAsia="仿宋_GB2312"/>
                <w:lang w:val="en-US"/>
              </w:rPr>
              <w:t>本单位可为参赛学生团队提供指导导师，介绍选题工程背景、技术细节，针对开发过程的疑问定期进行解答。</w:t>
            </w:r>
          </w:p>
          <w:p w14:paraId="07760707">
            <w:pPr>
              <w:rPr>
                <w:rFonts w:eastAsia="仿宋_GB2312"/>
                <w:lang w:val="en-US"/>
              </w:rPr>
            </w:pPr>
            <w:r>
              <w:rPr>
                <w:rFonts w:hint="eastAsia" w:eastAsia="仿宋_GB2312"/>
                <w:lang w:val="en-US"/>
              </w:rPr>
              <w:t>本单位在参赛团队完成相关审核程序后可提供参观应用场景的机会。</w:t>
            </w:r>
          </w:p>
          <w:p w14:paraId="1B4F5F3A">
            <w:pPr>
              <w:rPr>
                <w:rFonts w:eastAsia="仿宋_GB2312"/>
              </w:rPr>
            </w:pPr>
            <w:r>
              <w:rPr>
                <w:rFonts w:hint="eastAsia" w:eastAsia="仿宋_GB2312"/>
                <w:lang w:val="en-US"/>
              </w:rPr>
              <w:t>本单位可提供部分车型数据支撑团队研究，并根据实际情况提供成果产出</w:t>
            </w:r>
            <w:r>
              <w:rPr>
                <w:rFonts w:hint="eastAsia" w:eastAsia="仿宋_GB2312"/>
                <w:lang w:val="en-US" w:eastAsia="zh-CN"/>
              </w:rPr>
              <w:t>（</w:t>
            </w:r>
            <w:r>
              <w:rPr>
                <w:rFonts w:hint="eastAsia" w:eastAsia="仿宋_GB2312"/>
                <w:lang w:val="en-US"/>
              </w:rPr>
              <w:t>包含实物成果及非实物成果</w:t>
            </w:r>
            <w:r>
              <w:rPr>
                <w:rFonts w:hint="eastAsia" w:eastAsia="仿宋_GB2312"/>
                <w:lang w:val="en-US" w:eastAsia="zh-CN"/>
              </w:rPr>
              <w:t>）</w:t>
            </w:r>
            <w:r>
              <w:rPr>
                <w:rFonts w:hint="eastAsia" w:eastAsia="仿宋_GB2312"/>
                <w:lang w:val="en-US"/>
              </w:rPr>
              <w:t>方面的支持。</w:t>
            </w:r>
          </w:p>
        </w:tc>
      </w:tr>
      <w:tr w14:paraId="61342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8FE85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311785">
            <w:pPr>
              <w:rPr>
                <w:rFonts w:hint="eastAsia" w:eastAsia="仿宋_GB2312"/>
                <w:lang w:val="en-US"/>
              </w:rPr>
            </w:pPr>
            <w:r>
              <w:rPr>
                <w:rFonts w:hint="eastAsia" w:eastAsia="仿宋_GB2312"/>
                <w:lang w:val="en-US"/>
              </w:rPr>
              <w:t>一、奖项设置</w:t>
            </w:r>
          </w:p>
          <w:p w14:paraId="167FA634">
            <w:pPr>
              <w:rPr>
                <w:rFonts w:hint="eastAsia" w:eastAsia="仿宋_GB2312"/>
                <w:lang w:val="en-US"/>
              </w:rPr>
            </w:pPr>
            <w:r>
              <w:rPr>
                <w:rFonts w:hint="eastAsia" w:eastAsia="仿宋_GB2312"/>
                <w:lang w:val="en-US" w:eastAsia="zh-CN"/>
              </w:rPr>
              <w:t>原则上设“擂主”团队1个，</w:t>
            </w:r>
            <w:r>
              <w:rPr>
                <w:rFonts w:hint="eastAsia" w:eastAsia="仿宋_GB2312"/>
                <w:lang w:val="en-US"/>
              </w:rPr>
              <w:t>根据实际情况评出相应的特等奖、一等奖、二等奖、三等奖项目若干。</w:t>
            </w:r>
          </w:p>
          <w:p w14:paraId="3429B7E3">
            <w:pPr>
              <w:rPr>
                <w:rFonts w:hint="eastAsia" w:eastAsia="仿宋_GB2312"/>
                <w:lang w:val="en-US"/>
              </w:rPr>
            </w:pPr>
            <w:r>
              <w:rPr>
                <w:rFonts w:hint="eastAsia" w:eastAsia="仿宋_GB2312"/>
                <w:lang w:val="en-US"/>
              </w:rPr>
              <w:t>二、激励措施</w:t>
            </w:r>
          </w:p>
          <w:p w14:paraId="2428F467">
            <w:pPr>
              <w:rPr>
                <w:rFonts w:hint="eastAsia" w:eastAsia="仿宋_GB2312"/>
                <w:lang w:val="en-US"/>
              </w:rPr>
            </w:pPr>
            <w:r>
              <w:rPr>
                <w:rFonts w:hint="eastAsia" w:eastAsia="仿宋_GB2312"/>
                <w:lang w:val="en-US"/>
              </w:rPr>
              <w:t>1.揭榜本选题并获得名次</w:t>
            </w:r>
            <w:r>
              <w:rPr>
                <w:rFonts w:hint="eastAsia" w:eastAsia="仿宋_GB2312"/>
                <w:lang w:val="en-US" w:eastAsia="zh-CN"/>
              </w:rPr>
              <w:t>（奖项）</w:t>
            </w:r>
            <w:r>
              <w:rPr>
                <w:rFonts w:hint="eastAsia" w:eastAsia="仿宋_GB2312"/>
                <w:lang w:val="en-US"/>
              </w:rPr>
              <w:t>的团队有机会优先取得到企业实习的机会。</w:t>
            </w:r>
          </w:p>
          <w:p w14:paraId="33A25228">
            <w:pPr>
              <w:rPr>
                <w:rFonts w:eastAsia="仿宋_GB2312"/>
                <w:lang w:val="en-US"/>
              </w:rPr>
            </w:pPr>
            <w:r>
              <w:rPr>
                <w:rFonts w:hint="eastAsia" w:eastAsia="仿宋_GB2312"/>
                <w:lang w:val="en-US"/>
              </w:rPr>
              <w:t>2.揭榜本选题并获得特等奖的团队可获得企业面试直通卡，直接进入企业次年招聘面试。</w:t>
            </w:r>
          </w:p>
        </w:tc>
      </w:tr>
    </w:tbl>
    <w:p w14:paraId="584D1B5D">
      <w:pPr>
        <w:rPr>
          <w:rFonts w:hint="eastAsia" w:eastAsia="方正黑体简体"/>
          <w:sz w:val="28"/>
          <w:szCs w:val="28"/>
          <w:lang w:val="en-US"/>
        </w:rPr>
      </w:pPr>
    </w:p>
    <w:p w14:paraId="7C79470A">
      <w:pPr>
        <w:rPr>
          <w:rFonts w:hint="eastAsia" w:eastAsia="方正黑体简体"/>
          <w:sz w:val="28"/>
          <w:szCs w:val="28"/>
          <w:lang w:val="en-US"/>
        </w:rPr>
      </w:pPr>
    </w:p>
    <w:p w14:paraId="20E23856">
      <w:pPr>
        <w:rPr>
          <w:rFonts w:hint="eastAsia" w:eastAsia="方正黑体简体"/>
          <w:sz w:val="28"/>
          <w:szCs w:val="28"/>
          <w:lang w:val="en-US"/>
        </w:rPr>
      </w:pPr>
    </w:p>
    <w:p w14:paraId="565A7FA8">
      <w:pPr>
        <w:rPr>
          <w:rFonts w:hint="eastAsia" w:eastAsia="方正黑体简体"/>
          <w:sz w:val="28"/>
          <w:szCs w:val="28"/>
          <w:lang w:val="en-US"/>
        </w:rPr>
      </w:pPr>
    </w:p>
    <w:p w14:paraId="42E8D9D5">
      <w:pPr>
        <w:rPr>
          <w:rFonts w:eastAsia="方正黑体简体"/>
          <w:sz w:val="28"/>
          <w:szCs w:val="28"/>
          <w:lang w:val="en-US"/>
        </w:rPr>
      </w:pPr>
      <w:r>
        <w:rPr>
          <w:rFonts w:hint="eastAsia" w:eastAsia="方正黑体简体"/>
          <w:sz w:val="28"/>
          <w:szCs w:val="28"/>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07B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DB68E95">
            <w:pPr>
              <w:jc w:val="center"/>
              <w:rPr>
                <w:rFonts w:eastAsia="楷体_GB2312"/>
                <w:sz w:val="28"/>
                <w:szCs w:val="28"/>
              </w:rPr>
            </w:pPr>
            <w:r>
              <w:rPr>
                <w:rFonts w:hint="eastAsia" w:eastAsia="楷体_GB2312"/>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055BC0">
            <w:pPr>
              <w:rPr>
                <w:rFonts w:eastAsia="仿宋_GB2312"/>
              </w:rPr>
            </w:pPr>
            <w:r>
              <w:rPr>
                <w:rFonts w:hint="eastAsia" w:eastAsia="仿宋_GB2312"/>
              </w:rPr>
              <w:t>本选题聚焦新型模块化线控底盘架构设计与应用，具有以下核心技术意义：</w:t>
            </w:r>
          </w:p>
          <w:p w14:paraId="509D9796">
            <w:pPr>
              <w:rPr>
                <w:rFonts w:eastAsia="仿宋_GB2312"/>
              </w:rPr>
            </w:pPr>
            <w:r>
              <w:rPr>
                <w:rFonts w:eastAsia="仿宋_GB2312"/>
              </w:rPr>
              <w:t>1</w:t>
            </w:r>
            <w:r>
              <w:rPr>
                <w:rFonts w:hint="eastAsia" w:eastAsia="仿宋_GB2312"/>
              </w:rPr>
              <w:t>、突破传统底盘技术瓶颈，传统机械底盘受限于机械耦合与空间冗余，难以满足新能源汽车对轻量化、智能化的需求。本选题期望通过机构拓扑优化与模块化集成设计，重构底盘布局逻辑，推动底盘架构向高度模块化方向演进，巩固我国新能源汽车产业的领跑优势。</w:t>
            </w:r>
          </w:p>
          <w:p w14:paraId="48CD303B">
            <w:pPr>
              <w:rPr>
                <w:rFonts w:eastAsia="仿宋_GB2312"/>
              </w:rPr>
            </w:pPr>
            <w:r>
              <w:rPr>
                <w:rFonts w:eastAsia="仿宋_GB2312"/>
              </w:rPr>
              <w:t>2</w:t>
            </w:r>
            <w:r>
              <w:rPr>
                <w:rFonts w:hint="eastAsia" w:eastAsia="仿宋_GB2312"/>
              </w:rPr>
              <w:t>、通过模块化解耦设计，攻克执行系统功能耦合问题，提升转向、轮胎运动独立性，实现线控系统国产替代，降低对国外线控技术的依赖，提升产业链自主可控能力。</w:t>
            </w:r>
          </w:p>
          <w:p w14:paraId="7C67E661">
            <w:pPr>
              <w:rPr>
                <w:rFonts w:eastAsia="仿宋_GB2312"/>
              </w:rPr>
            </w:pPr>
            <w:r>
              <w:rPr>
                <w:rFonts w:eastAsia="仿宋_GB2312"/>
              </w:rPr>
              <w:t>3</w:t>
            </w:r>
            <w:r>
              <w:rPr>
                <w:rFonts w:hint="eastAsia" w:eastAsia="仿宋_GB2312"/>
              </w:rPr>
              <w:t>、针对底盘运动功能独立、自由度大等技术特点，本选题期望通过开发状态估计算法、轨迹规划算法、动态控制方法等，实现底盘运动性能提升与多模态精准控制（如原地转向、蟹行等），扩大我国在高自由度底盘智能控制领域的技术优势。</w:t>
            </w:r>
          </w:p>
        </w:tc>
      </w:tr>
      <w:tr w14:paraId="15A7D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1D2D3B">
            <w:pPr>
              <w:jc w:val="center"/>
              <w:rPr>
                <w:rFonts w:eastAsia="楷体_GB2312"/>
                <w:sz w:val="28"/>
                <w:szCs w:val="28"/>
              </w:rPr>
            </w:pPr>
            <w:r>
              <w:rPr>
                <w:rFonts w:hint="eastAsia" w:eastAsia="楷体_GB2312"/>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7DC348">
            <w:pPr>
              <w:rPr>
                <w:rFonts w:eastAsia="仿宋_GB2312"/>
              </w:rPr>
            </w:pPr>
            <w:r>
              <w:rPr>
                <w:rFonts w:hint="eastAsia" w:eastAsia="仿宋_GB2312"/>
              </w:rPr>
              <w:t>本选题聚焦新型模块化线控底盘架构设计与应用，具有以下经济社会效益：</w:t>
            </w:r>
          </w:p>
          <w:p w14:paraId="67B95202">
            <w:pPr>
              <w:rPr>
                <w:rFonts w:eastAsia="仿宋_GB2312"/>
              </w:rPr>
            </w:pPr>
            <w:r>
              <w:rPr>
                <w:rFonts w:eastAsia="仿宋_GB2312"/>
              </w:rPr>
              <w:t>1</w:t>
            </w:r>
            <w:r>
              <w:rPr>
                <w:rFonts w:hint="eastAsia" w:eastAsia="仿宋_GB2312"/>
              </w:rPr>
              <w:t>、通过线控系统国产化替代，打破国外技术垄断，降低核心零部件采购成本</w:t>
            </w:r>
            <w:r>
              <w:rPr>
                <w:rFonts w:eastAsia="仿宋_GB2312"/>
              </w:rPr>
              <w:t>30%-40%</w:t>
            </w:r>
            <w:r>
              <w:rPr>
                <w:rFonts w:hint="eastAsia" w:eastAsia="仿宋_GB2312"/>
              </w:rPr>
              <w:t>，模块化底盘平台可推动开发周期缩短至</w:t>
            </w:r>
            <w:r>
              <w:rPr>
                <w:rFonts w:eastAsia="仿宋_GB2312"/>
              </w:rPr>
              <w:t>12</w:t>
            </w:r>
            <w:r>
              <w:rPr>
                <w:rFonts w:hint="eastAsia" w:eastAsia="仿宋_GB2312"/>
              </w:rPr>
              <w:t>个月内，助力车企快速响应市场需求，加快</w:t>
            </w:r>
            <w:r>
              <w:rPr>
                <w:rFonts w:eastAsia="仿宋_GB2312"/>
              </w:rPr>
              <w:t>L3</w:t>
            </w:r>
            <w:r>
              <w:rPr>
                <w:rFonts w:hint="eastAsia" w:eastAsia="仿宋_GB2312"/>
              </w:rPr>
              <w:t>级别自动驾驶落地。</w:t>
            </w:r>
          </w:p>
          <w:p w14:paraId="4B8C010D">
            <w:pPr>
              <w:rPr>
                <w:rFonts w:eastAsia="仿宋_GB2312"/>
              </w:rPr>
            </w:pPr>
            <w:r>
              <w:rPr>
                <w:rFonts w:eastAsia="仿宋_GB2312"/>
              </w:rPr>
              <w:t>2</w:t>
            </w:r>
            <w:r>
              <w:rPr>
                <w:rFonts w:hint="eastAsia" w:eastAsia="仿宋_GB2312"/>
              </w:rPr>
              <w:t>、关键技术突破推动国内线控底盘市场规模突破</w:t>
            </w:r>
            <w:r>
              <w:rPr>
                <w:rFonts w:eastAsia="仿宋_GB2312"/>
              </w:rPr>
              <w:t>600</w:t>
            </w:r>
            <w:r>
              <w:rPr>
                <w:rFonts w:hint="eastAsia" w:eastAsia="仿宋_GB2312"/>
              </w:rPr>
              <w:t>亿元，自主滑板底盘、线控底盘技术标准输出至东南亚、中东等海外市场，带动底盘模块、域控制器等产品出口，助力中国汽车产业技术出海。</w:t>
            </w:r>
          </w:p>
          <w:p w14:paraId="55111FE5">
            <w:pPr>
              <w:rPr>
                <w:rFonts w:eastAsia="仿宋_GB2312"/>
              </w:rPr>
            </w:pPr>
            <w:r>
              <w:rPr>
                <w:rFonts w:eastAsia="仿宋_GB2312"/>
              </w:rPr>
              <w:t>3</w:t>
            </w:r>
            <w:r>
              <w:rPr>
                <w:rFonts w:hint="eastAsia" w:eastAsia="仿宋_GB2312"/>
              </w:rPr>
              <w:t>、轻量化与能效优化技术使单车续航提升可降低全生命周期碳排放，推动新能源汽车年渗透率突破</w:t>
            </w:r>
            <w:r>
              <w:rPr>
                <w:rFonts w:eastAsia="仿宋_GB2312"/>
              </w:rPr>
              <w:t>60%</w:t>
            </w:r>
            <w:r>
              <w:rPr>
                <w:rFonts w:hint="eastAsia" w:eastAsia="仿宋_GB2312"/>
              </w:rPr>
              <w:t>。</w:t>
            </w:r>
          </w:p>
          <w:p w14:paraId="0D017BAC">
            <w:pPr>
              <w:rPr>
                <w:rFonts w:eastAsia="仿宋_GB2312"/>
              </w:rPr>
            </w:pPr>
            <w:r>
              <w:rPr>
                <w:rFonts w:eastAsia="仿宋_GB2312"/>
              </w:rPr>
              <w:t>4</w:t>
            </w:r>
            <w:r>
              <w:rPr>
                <w:rFonts w:hint="eastAsia" w:eastAsia="仿宋_GB2312"/>
              </w:rPr>
              <w:t>、智能运动控制技术（如爆胎稳控、低附路面防侧滑）可降低交通事故率，模块化底盘适配无障碍车辆、医疗救护车等特种场景，提升公共服务水平。</w:t>
            </w:r>
          </w:p>
          <w:p w14:paraId="76BAD3F2">
            <w:pPr>
              <w:rPr>
                <w:rFonts w:eastAsia="仿宋_GB2312"/>
              </w:rPr>
            </w:pPr>
            <w:r>
              <w:rPr>
                <w:rFonts w:eastAsia="仿宋_GB2312"/>
              </w:rPr>
              <w:t>5</w:t>
            </w:r>
            <w:r>
              <w:rPr>
                <w:rFonts w:hint="eastAsia" w:eastAsia="仿宋_GB2312"/>
              </w:rPr>
              <w:t>、推动智能底盘领域形成跨学科人才梯队，新增高端研发岗位，带动充换电、智能运维等下游服务业就业增长。</w:t>
            </w:r>
          </w:p>
        </w:tc>
      </w:tr>
    </w:tbl>
    <w:p w14:paraId="0980B919">
      <w:pPr>
        <w:rPr>
          <w:rFonts w:hint="eastAsia" w:eastAsia="楷体_GB2312"/>
        </w:rPr>
      </w:pPr>
      <w:r>
        <w:rPr>
          <w:rFonts w:hint="eastAsia" w:eastAsia="楷体_GB2312"/>
        </w:rPr>
        <w:br w:type="page"/>
      </w:r>
    </w:p>
    <w:p w14:paraId="365136B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50628BE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5</w:t>
      </w:r>
    </w:p>
    <w:p w14:paraId="6734BB4C">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77E26AC">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27"/>
        <w:tblW w:w="8569" w:type="dxa"/>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3066"/>
        <w:gridCol w:w="1049"/>
        <w:gridCol w:w="2791"/>
      </w:tblGrid>
      <w:tr w14:paraId="057A79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1663" w:type="dxa"/>
            <w:vAlign w:val="center"/>
          </w:tcPr>
          <w:p w14:paraId="483C70F5">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906" w:type="dxa"/>
            <w:gridSpan w:val="3"/>
            <w:vAlign w:val="center"/>
          </w:tcPr>
          <w:p w14:paraId="3AD52291">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w:t>
            </w:r>
          </w:p>
        </w:tc>
      </w:tr>
      <w:tr w14:paraId="5E979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63" w:type="dxa"/>
            <w:vAlign w:val="center"/>
          </w:tcPr>
          <w:p w14:paraId="1C8CF370">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单位类型</w:t>
            </w:r>
          </w:p>
        </w:tc>
        <w:tc>
          <w:tcPr>
            <w:tcW w:w="6906" w:type="dxa"/>
            <w:gridSpan w:val="3"/>
            <w:vAlign w:val="center"/>
          </w:tcPr>
          <w:p w14:paraId="32A19AF9">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国有企业</w:t>
            </w:r>
          </w:p>
        </w:tc>
      </w:tr>
      <w:tr w14:paraId="7AA6C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63" w:type="dxa"/>
            <w:vAlign w:val="center"/>
          </w:tcPr>
          <w:p w14:paraId="6E03C3D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906" w:type="dxa"/>
            <w:gridSpan w:val="3"/>
            <w:vAlign w:val="center"/>
          </w:tcPr>
          <w:p w14:paraId="150732D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北京市顺义区仁和镇双河大街99号院1幢</w:t>
            </w:r>
          </w:p>
        </w:tc>
      </w:tr>
      <w:tr w14:paraId="5A691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1663" w:type="dxa"/>
            <w:vAlign w:val="center"/>
          </w:tcPr>
          <w:p w14:paraId="5FD29A4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单位简介</w:t>
            </w:r>
          </w:p>
        </w:tc>
        <w:tc>
          <w:tcPr>
            <w:tcW w:w="6906" w:type="dxa"/>
            <w:gridSpan w:val="3"/>
            <w:vAlign w:val="center"/>
          </w:tcPr>
          <w:p w14:paraId="33CB1D72">
            <w:pPr>
              <w:widowControl w:val="0"/>
              <w:adjustRightInd w:val="0"/>
              <w:snapToGrid w:val="0"/>
              <w:ind w:left="0" w:leftChars="0" w:right="0" w:rightChars="0" w:firstLine="0" w:firstLineChars="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是北京汽车集团有限公司下属核心研发机构，聚焦整车技术、智能网联、新能源及前沿技术研究，承担集团多项关键技术研发任务。公司围绕智能网联汽车、车路协同、自动驾驶相关技术开展系统性研究，具备较为完善的技术研发体系、实验条件和产业应用场景，在行业内具有一定技术积累和示范应用基础。</w:t>
            </w:r>
          </w:p>
        </w:tc>
      </w:tr>
      <w:tr w14:paraId="1D70B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663" w:type="dxa"/>
            <w:vAlign w:val="center"/>
          </w:tcPr>
          <w:p w14:paraId="2ACBDDF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联系人</w:t>
            </w:r>
          </w:p>
        </w:tc>
        <w:tc>
          <w:tcPr>
            <w:tcW w:w="3066" w:type="dxa"/>
            <w:vAlign w:val="center"/>
          </w:tcPr>
          <w:p w14:paraId="021A3E72">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张一豪</w:t>
            </w:r>
          </w:p>
        </w:tc>
        <w:tc>
          <w:tcPr>
            <w:tcW w:w="1049" w:type="dxa"/>
            <w:vAlign w:val="center"/>
          </w:tcPr>
          <w:p w14:paraId="35965F7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91" w:type="dxa"/>
            <w:vAlign w:val="center"/>
          </w:tcPr>
          <w:p w14:paraId="5F6D3DBB">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工程师</w:t>
            </w:r>
          </w:p>
        </w:tc>
      </w:tr>
      <w:tr w14:paraId="5622B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3" w:hRule="atLeast"/>
        </w:trPr>
        <w:tc>
          <w:tcPr>
            <w:tcW w:w="1663" w:type="dxa"/>
            <w:vAlign w:val="center"/>
          </w:tcPr>
          <w:p w14:paraId="14EC5A8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联系方式</w:t>
            </w:r>
          </w:p>
        </w:tc>
        <w:tc>
          <w:tcPr>
            <w:tcW w:w="3066" w:type="dxa"/>
            <w:vAlign w:val="center"/>
          </w:tcPr>
          <w:p w14:paraId="77DED2EA">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17634300497</w:t>
            </w:r>
          </w:p>
        </w:tc>
        <w:tc>
          <w:tcPr>
            <w:tcW w:w="1049" w:type="dxa"/>
            <w:vAlign w:val="center"/>
          </w:tcPr>
          <w:p w14:paraId="42E98603">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91" w:type="dxa"/>
            <w:vAlign w:val="center"/>
          </w:tcPr>
          <w:p w14:paraId="09E0FBF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17634300497</w:t>
            </w:r>
          </w:p>
        </w:tc>
      </w:tr>
    </w:tbl>
    <w:p w14:paraId="6E7F3872">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27"/>
        <w:tblW w:w="8513" w:type="dxa"/>
        <w:tblInd w:w="1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
        <w:gridCol w:w="1729"/>
        <w:gridCol w:w="83"/>
        <w:gridCol w:w="6544"/>
        <w:gridCol w:w="63"/>
      </w:tblGrid>
      <w:tr w14:paraId="63887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3" w:type="dxa"/>
          <w:trHeight w:val="1101" w:hRule="atLeast"/>
        </w:trPr>
        <w:tc>
          <w:tcPr>
            <w:tcW w:w="1823" w:type="dxa"/>
            <w:gridSpan w:val="2"/>
            <w:vAlign w:val="center"/>
          </w:tcPr>
          <w:p w14:paraId="65D4BBB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选题题目</w:t>
            </w:r>
          </w:p>
        </w:tc>
        <w:tc>
          <w:tcPr>
            <w:tcW w:w="6627" w:type="dxa"/>
            <w:gridSpan w:val="2"/>
            <w:vAlign w:val="center"/>
          </w:tcPr>
          <w:p w14:paraId="290E707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面向城市复杂交通场景的智能网联汽车应用创新方案设计</w:t>
            </w:r>
          </w:p>
        </w:tc>
      </w:tr>
      <w:tr w14:paraId="3161C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63" w:type="dxa"/>
          <w:trHeight w:val="1988" w:hRule="atLeast"/>
        </w:trPr>
        <w:tc>
          <w:tcPr>
            <w:tcW w:w="1823" w:type="dxa"/>
            <w:gridSpan w:val="2"/>
            <w:vAlign w:val="center"/>
          </w:tcPr>
          <w:p w14:paraId="7C7E26D1">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27" w:type="dxa"/>
            <w:gridSpan w:val="2"/>
            <w:vAlign w:val="center"/>
          </w:tcPr>
          <w:p w14:paraId="7E088A9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新一代信息技术、人工智能、智能网联汽车、车路协同、高端装备</w:t>
            </w:r>
          </w:p>
        </w:tc>
      </w:tr>
      <w:tr w14:paraId="2D76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5730" w:hRule="atLeast"/>
        </w:trPr>
        <w:tc>
          <w:tcPr>
            <w:tcW w:w="1812" w:type="dxa"/>
            <w:gridSpan w:val="2"/>
            <w:vAlign w:val="center"/>
          </w:tcPr>
          <w:p w14:paraId="04A6DBCB">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07" w:type="dxa"/>
            <w:gridSpan w:val="2"/>
            <w:vAlign w:val="center"/>
          </w:tcPr>
          <w:p w14:paraId="0950A2D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随着智能网联汽车和智慧城市建设的持续推进，车辆、道路、云端协同发展的新型交通体系正在加速形成。当前，在城市复杂交通场景中，智能网联相关技术在感知协同、信息融合、应用落地等方面仍存在创新空间，亟需结合真实交通需求探索具有实践价值的创新应用模式。</w:t>
            </w:r>
          </w:p>
          <w:p w14:paraId="798DFFBE">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本选题围绕城市道路、园区、示范区等典型交通场景，鼓励大学生团队基于智能网联汽车、车路协同或相关信息技术，提出具有创新性和可行性的应用方案或创业计划。参赛团队可从安全出行、交通效率提升、绿色低碳、智慧管理、用户服务等角度切入，设计产品形态、系统方案或服务模式，形成具备落地潜力的创新构想。</w:t>
            </w:r>
          </w:p>
          <w:p w14:paraId="7F22E40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选题强调问题导向和应用价值，重点考察方案对真实交通场景的适配性、创新性及发展潜力，避免对成熟商业产品的简单复现，鼓励学生在合理技术假设基础上进行系统性设计和探索。</w:t>
            </w:r>
          </w:p>
        </w:tc>
      </w:tr>
      <w:tr w14:paraId="4AB3A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2308" w:hRule="atLeast"/>
        </w:trPr>
        <w:tc>
          <w:tcPr>
            <w:tcW w:w="1812" w:type="dxa"/>
            <w:gridSpan w:val="2"/>
            <w:vAlign w:val="center"/>
          </w:tcPr>
          <w:p w14:paraId="60C65457">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07" w:type="dxa"/>
            <w:gridSpan w:val="2"/>
            <w:vAlign w:val="center"/>
          </w:tcPr>
          <w:p w14:paraId="776EB6A3">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1.作品形式为创业计划书或创新应用方案，内容应包含但不限于：背景与问题分析、技术或方案总体设计、应用场景说明、创新点与可行性分析、实施路径或发展规划。</w:t>
            </w:r>
          </w:p>
          <w:p w14:paraId="0AB4715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2.作品须为原创，不得侵犯他人知识产权</w:t>
            </w:r>
          </w:p>
          <w:p w14:paraId="4B4C491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3.提交形式以书面方案为主，可配合示意图、流程图等辅助材料。</w:t>
            </w:r>
          </w:p>
          <w:p w14:paraId="3A1AE39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4.作品内容应逻辑清晰、结构完整、表述规范。</w:t>
            </w:r>
          </w:p>
        </w:tc>
      </w:tr>
      <w:tr w14:paraId="5BC6F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2608" w:hRule="atLeast"/>
        </w:trPr>
        <w:tc>
          <w:tcPr>
            <w:tcW w:w="1812" w:type="dxa"/>
            <w:gridSpan w:val="2"/>
            <w:vAlign w:val="center"/>
          </w:tcPr>
          <w:p w14:paraId="1442284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0475773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07" w:type="dxa"/>
            <w:gridSpan w:val="2"/>
            <w:vAlign w:val="center"/>
          </w:tcPr>
          <w:p w14:paraId="0BC4E4A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1.创新性（30%）：是否具有新颖的应用思路或模式、是否体现跨学科或技术融合创新，</w:t>
            </w:r>
          </w:p>
          <w:p w14:paraId="5A40735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2.可行性（30%）：技术路线是否合理、应用场景是否真实、明确。</w:t>
            </w:r>
          </w:p>
          <w:p w14:paraId="3FBCF10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3.应用价值（25%）：对提升交通效率、安全或管理水平的潜在作用、对智能网联汽车发展的促进意义。</w:t>
            </w:r>
          </w:p>
          <w:p w14:paraId="2FEAA6F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4.方案完整性与表达（15%）：方案结构完整、逻辑清楚、文档表达规范、重点突出。</w:t>
            </w:r>
          </w:p>
        </w:tc>
      </w:tr>
      <w:tr w14:paraId="21DA3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4" w:type="dxa"/>
          <w:trHeight w:val="1873" w:hRule="atLeast"/>
        </w:trPr>
        <w:tc>
          <w:tcPr>
            <w:tcW w:w="1812" w:type="dxa"/>
            <w:gridSpan w:val="2"/>
            <w:vAlign w:val="center"/>
          </w:tcPr>
          <w:p w14:paraId="7369153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07" w:type="dxa"/>
            <w:gridSpan w:val="2"/>
            <w:vAlign w:val="center"/>
          </w:tcPr>
          <w:p w14:paraId="7E87A5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参赛作品不得涉及任何商业合作或利益绑定要求，出题单位不对作品提出商业化使用要求。</w:t>
            </w:r>
          </w:p>
        </w:tc>
      </w:tr>
    </w:tbl>
    <w:p w14:paraId="24E14D5A">
      <w:pPr>
        <w:sectPr>
          <w:footerReference r:id="rId3" w:type="default"/>
          <w:pgSz w:w="11906" w:h="16838"/>
          <w:pgMar w:top="1440" w:right="1800" w:bottom="1440" w:left="1800" w:header="0" w:footer="1259" w:gutter="0"/>
          <w:cols w:space="720" w:num="1"/>
        </w:sectPr>
      </w:pPr>
    </w:p>
    <w:p w14:paraId="2F67C25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27"/>
        <w:tblW w:w="8459"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2"/>
        <w:gridCol w:w="6647"/>
      </w:tblGrid>
      <w:tr w14:paraId="0221C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1" w:hRule="atLeast"/>
        </w:trPr>
        <w:tc>
          <w:tcPr>
            <w:tcW w:w="1812" w:type="dxa"/>
            <w:vAlign w:val="center"/>
          </w:tcPr>
          <w:p w14:paraId="77D05E3B">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保障措施</w:t>
            </w:r>
          </w:p>
        </w:tc>
        <w:tc>
          <w:tcPr>
            <w:tcW w:w="6647" w:type="dxa"/>
            <w:vAlign w:val="center"/>
          </w:tcPr>
          <w:p w14:paraId="1D7A5D8B">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1.为参赛团队提供选题相关的技术背景介绍与应用场景说明；</w:t>
            </w:r>
          </w:p>
          <w:p w14:paraId="38D3599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2.组织线上或线下交流，安排专业技术人员对参赛团队进行方向性指导与答疑；</w:t>
            </w:r>
          </w:p>
          <w:p w14:paraId="083796F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3.提供可参考的公开资料或案例，帮助学生理解行业背景。</w:t>
            </w:r>
          </w:p>
        </w:tc>
      </w:tr>
      <w:tr w14:paraId="71E1B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8" w:hRule="atLeast"/>
        </w:trPr>
        <w:tc>
          <w:tcPr>
            <w:tcW w:w="1812" w:type="dxa"/>
            <w:vAlign w:val="center"/>
          </w:tcPr>
          <w:p w14:paraId="566197A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47" w:type="dxa"/>
            <w:vAlign w:val="center"/>
          </w:tcPr>
          <w:p w14:paraId="629FE8D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一、奖项设置</w:t>
            </w:r>
          </w:p>
          <w:p w14:paraId="5EA603C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1821212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538CDA4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1.对所有获奖团队，由出题单位出具正式实习证明；</w:t>
            </w:r>
          </w:p>
          <w:p w14:paraId="623A880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2.对表现突出的团队或个人，优先推荐参与相关实践交流活动及申报市级奖项。</w:t>
            </w:r>
          </w:p>
        </w:tc>
      </w:tr>
    </w:tbl>
    <w:p w14:paraId="7073A602">
      <w:pPr>
        <w:spacing w:before="108" w:line="220" w:lineRule="auto"/>
        <w:ind w:left="67"/>
        <w:outlineLvl w:val="1"/>
        <w:rPr>
          <w:rFonts w:hint="eastAsia" w:ascii="黑体" w:hAnsi="黑体" w:eastAsia="黑体" w:cs="黑体"/>
          <w:sz w:val="32"/>
          <w:szCs w:val="32"/>
        </w:rPr>
      </w:pPr>
      <w:r>
        <w:rPr>
          <w:rFonts w:hint="eastAsia" w:ascii="黑体" w:hAnsi="黑体" w:eastAsia="黑体" w:cs="黑体"/>
          <w:b/>
          <w:bCs/>
          <w:spacing w:val="-3"/>
          <w:sz w:val="32"/>
          <w:szCs w:val="32"/>
        </w:rPr>
        <w:t>四、选题意义</w:t>
      </w:r>
    </w:p>
    <w:p w14:paraId="48EB59A7">
      <w:pPr>
        <w:spacing w:line="21" w:lineRule="exact"/>
      </w:pPr>
    </w:p>
    <w:tbl>
      <w:tblPr>
        <w:tblStyle w:val="27"/>
        <w:tblW w:w="8459" w:type="dxa"/>
        <w:tblInd w:w="2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2"/>
        <w:gridCol w:w="6647"/>
      </w:tblGrid>
      <w:tr w14:paraId="45E40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10" w:hRule="atLeast"/>
        </w:trPr>
        <w:tc>
          <w:tcPr>
            <w:tcW w:w="1812" w:type="dxa"/>
            <w:vAlign w:val="center"/>
          </w:tcPr>
          <w:p w14:paraId="0B6C4885">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647" w:type="dxa"/>
            <w:vAlign w:val="top"/>
          </w:tcPr>
          <w:p w14:paraId="129449AF">
            <w:pPr>
              <w:pStyle w:val="28"/>
              <w:spacing w:before="243" w:line="219" w:lineRule="auto"/>
              <w:ind w:left="442"/>
              <w:rPr>
                <w:rFonts w:hint="eastAsia" w:ascii="仿宋_GB2312" w:hAnsi="仿宋_GB2312" w:eastAsia="仿宋_GB2312" w:cs="仿宋_GB2312"/>
              </w:rPr>
            </w:pPr>
            <w:r>
              <w:rPr>
                <w:rFonts w:hint="eastAsia" w:ascii="仿宋_GB2312" w:hAnsi="仿宋_GB2312" w:eastAsia="仿宋_GB2312" w:cs="仿宋_GB2312"/>
              </w:rPr>
              <w:t>本选题聚焦智能网联汽车在复杂交通场景下的应用创</w:t>
            </w:r>
          </w:p>
          <w:p w14:paraId="3581C5FB">
            <w:pPr>
              <w:pStyle w:val="28"/>
              <w:spacing w:before="22" w:line="231" w:lineRule="auto"/>
              <w:ind w:left="33" w:right="50" w:firstLine="29"/>
              <w:rPr>
                <w:rFonts w:hint="eastAsia" w:ascii="仿宋_GB2312" w:hAnsi="仿宋_GB2312" w:eastAsia="仿宋_GB2312" w:cs="仿宋_GB2312"/>
              </w:rPr>
            </w:pPr>
            <w:r>
              <w:rPr>
                <w:rFonts w:hint="eastAsia" w:ascii="仿宋_GB2312" w:hAnsi="仿宋_GB2312" w:eastAsia="仿宋_GB2312" w:cs="仿宋_GB2312"/>
              </w:rPr>
              <w:t>新，有助于启发青年学生从系统视角理解车、路、云协同发</w:t>
            </w:r>
            <w:r>
              <w:rPr>
                <w:rFonts w:hint="eastAsia" w:ascii="仿宋_GB2312" w:hAnsi="仿宋_GB2312" w:eastAsia="仿宋_GB2312" w:cs="仿宋_GB2312"/>
                <w:spacing w:val="9"/>
              </w:rPr>
              <w:t xml:space="preserve"> </w:t>
            </w:r>
            <w:r>
              <w:rPr>
                <w:rFonts w:hint="eastAsia" w:ascii="仿宋_GB2312" w:hAnsi="仿宋_GB2312" w:eastAsia="仿宋_GB2312" w:cs="仿宋_GB2312"/>
                <w:spacing w:val="2"/>
              </w:rPr>
              <w:t>展方向，为相关技术应用和模式探索提供新思路，对推动智</w:t>
            </w:r>
            <w:r>
              <w:rPr>
                <w:rFonts w:hint="eastAsia" w:ascii="仿宋_GB2312" w:hAnsi="仿宋_GB2312" w:eastAsia="仿宋_GB2312" w:cs="仿宋_GB2312"/>
              </w:rPr>
              <w:t xml:space="preserve"> </w:t>
            </w:r>
            <w:r>
              <w:rPr>
                <w:rFonts w:hint="eastAsia" w:ascii="仿宋_GB2312" w:hAnsi="仿宋_GB2312" w:eastAsia="仿宋_GB2312" w:cs="仿宋_GB2312"/>
                <w:spacing w:val="-1"/>
              </w:rPr>
              <w:t>能网联技术与实际交通需求的结合具有积极意义。</w:t>
            </w:r>
          </w:p>
        </w:tc>
      </w:tr>
      <w:tr w14:paraId="44015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0" w:hRule="atLeast"/>
        </w:trPr>
        <w:tc>
          <w:tcPr>
            <w:tcW w:w="1812" w:type="dxa"/>
            <w:vAlign w:val="center"/>
          </w:tcPr>
          <w:p w14:paraId="42DE9BC0">
            <w:pPr>
              <w:pStyle w:val="28"/>
              <w:spacing w:before="82"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1"/>
                <w:sz w:val="28"/>
                <w:szCs w:val="28"/>
              </w:rPr>
              <w:t>经济社会效益</w:t>
            </w:r>
          </w:p>
        </w:tc>
        <w:tc>
          <w:tcPr>
            <w:tcW w:w="6647" w:type="dxa"/>
            <w:vAlign w:val="top"/>
          </w:tcPr>
          <w:p w14:paraId="5F5A96C3">
            <w:pPr>
              <w:spacing w:line="242" w:lineRule="auto"/>
              <w:rPr>
                <w:rFonts w:hint="eastAsia" w:ascii="仿宋_GB2312" w:hAnsi="仿宋_GB2312" w:eastAsia="仿宋_GB2312" w:cs="仿宋_GB2312"/>
                <w:sz w:val="21"/>
              </w:rPr>
            </w:pPr>
          </w:p>
          <w:p w14:paraId="30F0EFC5">
            <w:pPr>
              <w:pStyle w:val="28"/>
              <w:spacing w:before="81" w:line="219" w:lineRule="auto"/>
              <w:ind w:left="442"/>
              <w:rPr>
                <w:rFonts w:hint="eastAsia" w:ascii="仿宋_GB2312" w:hAnsi="仿宋_GB2312" w:eastAsia="仿宋_GB2312" w:cs="仿宋_GB2312"/>
              </w:rPr>
            </w:pPr>
            <w:r>
              <w:rPr>
                <w:rFonts w:hint="eastAsia" w:ascii="仿宋_GB2312" w:hAnsi="仿宋_GB2312" w:eastAsia="仿宋_GB2312" w:cs="仿宋_GB2312"/>
              </w:rPr>
              <w:t>通过引导大学生关注智慧交通与智能网联应用场景创</w:t>
            </w:r>
          </w:p>
          <w:p w14:paraId="693EF926">
            <w:pPr>
              <w:pStyle w:val="28"/>
              <w:spacing w:before="2" w:line="241" w:lineRule="auto"/>
              <w:ind w:left="13" w:right="58" w:firstLine="49"/>
              <w:rPr>
                <w:rFonts w:hint="eastAsia" w:ascii="仿宋_GB2312" w:hAnsi="仿宋_GB2312" w:eastAsia="仿宋_GB2312" w:cs="仿宋_GB2312"/>
              </w:rPr>
            </w:pPr>
            <w:r>
              <w:rPr>
                <w:rFonts w:hint="eastAsia" w:ascii="仿宋_GB2312" w:hAnsi="仿宋_GB2312" w:eastAsia="仿宋_GB2312" w:cs="仿宋_GB2312"/>
              </w:rPr>
              <w:t>新，推动青年科技力量参与城市交通治理和产业发展，有助</w:t>
            </w:r>
            <w:r>
              <w:rPr>
                <w:rFonts w:hint="eastAsia" w:ascii="仿宋_GB2312" w:hAnsi="仿宋_GB2312" w:eastAsia="仿宋_GB2312" w:cs="仿宋_GB2312"/>
                <w:spacing w:val="14"/>
              </w:rPr>
              <w:t xml:space="preserve"> </w:t>
            </w:r>
            <w:r>
              <w:rPr>
                <w:rFonts w:hint="eastAsia" w:ascii="仿宋_GB2312" w:hAnsi="仿宋_GB2312" w:eastAsia="仿宋_GB2312" w:cs="仿宋_GB2312"/>
                <w:spacing w:val="2"/>
              </w:rPr>
              <w:t>于提升公众对智能出行的认知，培育未来技术人才储备，对</w:t>
            </w:r>
            <w:r>
              <w:rPr>
                <w:rFonts w:hint="eastAsia" w:ascii="仿宋_GB2312" w:hAnsi="仿宋_GB2312" w:eastAsia="仿宋_GB2312" w:cs="仿宋_GB2312"/>
                <w:spacing w:val="7"/>
              </w:rPr>
              <w:t xml:space="preserve"> </w:t>
            </w:r>
            <w:r>
              <w:rPr>
                <w:rFonts w:hint="eastAsia" w:ascii="仿宋_GB2312" w:hAnsi="仿宋_GB2312" w:eastAsia="仿宋_GB2312" w:cs="仿宋_GB2312"/>
                <w:spacing w:val="-1"/>
              </w:rPr>
              <w:t>促进交通领域高质量发展具有一定社会效益。</w:t>
            </w:r>
          </w:p>
        </w:tc>
      </w:tr>
    </w:tbl>
    <w:p w14:paraId="5B901C3C">
      <w:pPr>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br w:type="page"/>
      </w:r>
    </w:p>
    <w:p w14:paraId="4CCA34B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311247A">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6</w:t>
      </w:r>
    </w:p>
    <w:p w14:paraId="0E81319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659E3D3">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27"/>
        <w:tblW w:w="8549"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3"/>
        <w:gridCol w:w="3066"/>
        <w:gridCol w:w="1058"/>
        <w:gridCol w:w="2762"/>
      </w:tblGrid>
      <w:tr w14:paraId="58F71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663" w:type="dxa"/>
            <w:vAlign w:val="top"/>
          </w:tcPr>
          <w:p w14:paraId="2FB3C6C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单位名称</w:t>
            </w:r>
          </w:p>
        </w:tc>
        <w:tc>
          <w:tcPr>
            <w:tcW w:w="6886" w:type="dxa"/>
            <w:gridSpan w:val="3"/>
            <w:vAlign w:val="center"/>
          </w:tcPr>
          <w:p w14:paraId="577C3B7C">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w:t>
            </w:r>
          </w:p>
        </w:tc>
      </w:tr>
      <w:tr w14:paraId="600C6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663" w:type="dxa"/>
            <w:vAlign w:val="top"/>
          </w:tcPr>
          <w:p w14:paraId="69AD2DD3">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单位类型</w:t>
            </w:r>
          </w:p>
        </w:tc>
        <w:tc>
          <w:tcPr>
            <w:tcW w:w="6886" w:type="dxa"/>
            <w:gridSpan w:val="3"/>
            <w:vAlign w:val="center"/>
          </w:tcPr>
          <w:p w14:paraId="0F723A3B">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国有企业</w:t>
            </w:r>
          </w:p>
        </w:tc>
      </w:tr>
      <w:tr w14:paraId="3F4BA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663" w:type="dxa"/>
            <w:vAlign w:val="top"/>
          </w:tcPr>
          <w:p w14:paraId="083B0035">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地址</w:t>
            </w:r>
          </w:p>
        </w:tc>
        <w:tc>
          <w:tcPr>
            <w:tcW w:w="6886" w:type="dxa"/>
            <w:gridSpan w:val="3"/>
            <w:vAlign w:val="center"/>
          </w:tcPr>
          <w:p w14:paraId="6280A0B7">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北京市顺义区仁和镇双河大街99号院1幢</w:t>
            </w:r>
          </w:p>
        </w:tc>
      </w:tr>
      <w:tr w14:paraId="7D48B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6" w:hRule="atLeast"/>
        </w:trPr>
        <w:tc>
          <w:tcPr>
            <w:tcW w:w="1663" w:type="dxa"/>
            <w:vAlign w:val="top"/>
          </w:tcPr>
          <w:p w14:paraId="254F4917">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单位简介</w:t>
            </w:r>
          </w:p>
        </w:tc>
        <w:tc>
          <w:tcPr>
            <w:tcW w:w="6886" w:type="dxa"/>
            <w:gridSpan w:val="3"/>
            <w:vAlign w:val="center"/>
          </w:tcPr>
          <w:p w14:paraId="289676E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北京汽车研究总院有限公司是北京汽车集团有限公司下</w:t>
            </w:r>
          </w:p>
          <w:p w14:paraId="4E445D21">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属核心研发机构，聚焦整车技术、智能网联、新能源及前沿技术研究，承担集团多项关键技术研发任务。公司围绕智能网联汽车、车路协同、自动驾驶相关技术开展系统性研究，具备较为完善的技术研发体系、实验条件和产业应用场景，在行业内具有一定技术积累和示范应用基础。</w:t>
            </w:r>
          </w:p>
        </w:tc>
      </w:tr>
      <w:tr w14:paraId="2537F3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663" w:type="dxa"/>
            <w:vAlign w:val="top"/>
          </w:tcPr>
          <w:p w14:paraId="04AE1774">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联系人</w:t>
            </w:r>
          </w:p>
        </w:tc>
        <w:tc>
          <w:tcPr>
            <w:tcW w:w="3066" w:type="dxa"/>
            <w:vAlign w:val="center"/>
          </w:tcPr>
          <w:p w14:paraId="004FF9B2">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张静宜</w:t>
            </w:r>
          </w:p>
        </w:tc>
        <w:tc>
          <w:tcPr>
            <w:tcW w:w="1058" w:type="dxa"/>
            <w:vAlign w:val="top"/>
          </w:tcPr>
          <w:p w14:paraId="37A4933C">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职务</w:t>
            </w:r>
          </w:p>
        </w:tc>
        <w:tc>
          <w:tcPr>
            <w:tcW w:w="2762" w:type="dxa"/>
            <w:vAlign w:val="center"/>
          </w:tcPr>
          <w:p w14:paraId="5B8BCA9C">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软件开发科科长</w:t>
            </w:r>
          </w:p>
        </w:tc>
      </w:tr>
      <w:tr w14:paraId="361FD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trPr>
        <w:tc>
          <w:tcPr>
            <w:tcW w:w="1663" w:type="dxa"/>
            <w:vAlign w:val="top"/>
          </w:tcPr>
          <w:p w14:paraId="4160195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联系方式</w:t>
            </w:r>
          </w:p>
        </w:tc>
        <w:tc>
          <w:tcPr>
            <w:tcW w:w="3066" w:type="dxa"/>
            <w:vAlign w:val="center"/>
          </w:tcPr>
          <w:p w14:paraId="52625FA1">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13910111615</w:t>
            </w:r>
          </w:p>
        </w:tc>
        <w:tc>
          <w:tcPr>
            <w:tcW w:w="1058" w:type="dxa"/>
            <w:vAlign w:val="top"/>
          </w:tcPr>
          <w:p w14:paraId="08FCDD3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微信</w:t>
            </w:r>
          </w:p>
        </w:tc>
        <w:tc>
          <w:tcPr>
            <w:tcW w:w="2762" w:type="dxa"/>
            <w:vAlign w:val="center"/>
          </w:tcPr>
          <w:p w14:paraId="2BA380E5">
            <w:pPr>
              <w:widowControl w:val="0"/>
              <w:adjustRightInd w:val="0"/>
              <w:snapToGrid w:val="0"/>
              <w:ind w:left="0" w:leftChars="0" w:right="0" w:rightChars="0" w:firstLine="0" w:firstLineChars="0"/>
              <w:jc w:val="center"/>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13910111615</w:t>
            </w:r>
          </w:p>
        </w:tc>
      </w:tr>
    </w:tbl>
    <w:p w14:paraId="3C07C668">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27"/>
        <w:tblW w:w="8459" w:type="dxa"/>
        <w:tblInd w:w="1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2"/>
        <w:gridCol w:w="6627"/>
      </w:tblGrid>
      <w:tr w14:paraId="094929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832" w:type="dxa"/>
            <w:vAlign w:val="center"/>
          </w:tcPr>
          <w:p w14:paraId="67DA2972">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选题题目</w:t>
            </w:r>
          </w:p>
        </w:tc>
        <w:tc>
          <w:tcPr>
            <w:tcW w:w="6627" w:type="dxa"/>
            <w:vAlign w:val="center"/>
          </w:tcPr>
          <w:p w14:paraId="0F7D1C7C">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面向智能网联汽车运行行为数据监测的大模型技术</w:t>
            </w:r>
          </w:p>
        </w:tc>
      </w:tr>
      <w:tr w14:paraId="7C14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9" w:hRule="atLeast"/>
        </w:trPr>
        <w:tc>
          <w:tcPr>
            <w:tcW w:w="1832" w:type="dxa"/>
            <w:vAlign w:val="center"/>
          </w:tcPr>
          <w:p w14:paraId="4B85B4DA">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27" w:type="dxa"/>
            <w:vAlign w:val="center"/>
          </w:tcPr>
          <w:p w14:paraId="709FA34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智能网联汽车+人工智能</w:t>
            </w:r>
          </w:p>
        </w:tc>
      </w:tr>
    </w:tbl>
    <w:p w14:paraId="7294C2F9">
      <w:pPr>
        <w:rPr>
          <w:rFonts w:ascii="Arial" w:hAnsi="Arial" w:eastAsia="Arial" w:cs="Arial"/>
          <w:sz w:val="21"/>
          <w:szCs w:val="21"/>
        </w:rPr>
        <w:sectPr>
          <w:footerReference r:id="rId4" w:type="default"/>
          <w:pgSz w:w="11906" w:h="16838"/>
          <w:pgMar w:top="1440" w:right="1800" w:bottom="1440" w:left="1800" w:header="851" w:footer="992" w:gutter="0"/>
          <w:cols w:space="425" w:num="1"/>
          <w:docGrid w:type="lines" w:linePitch="312" w:charSpace="0"/>
        </w:sectPr>
      </w:pPr>
    </w:p>
    <w:tbl>
      <w:tblPr>
        <w:tblStyle w:val="27"/>
        <w:tblW w:w="8437" w:type="dxa"/>
        <w:tblInd w:w="2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3"/>
        <w:gridCol w:w="6614"/>
      </w:tblGrid>
      <w:tr w14:paraId="72DE9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0" w:hRule="atLeast"/>
        </w:trPr>
        <w:tc>
          <w:tcPr>
            <w:tcW w:w="1823" w:type="dxa"/>
            <w:vAlign w:val="center"/>
          </w:tcPr>
          <w:p w14:paraId="174D64F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14" w:type="dxa"/>
            <w:vAlign w:val="center"/>
          </w:tcPr>
          <w:p w14:paraId="0530D47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智能网联汽车是新一代信息技术、人工智能等前沿技术的集合体，也是具身智能与机器人的典型代表。安全已成为智能网联汽车大规模商业化应用的最大挑战，本选题旨在构建智能网联汽车安全监测专用大模型，基于大规模车辆运行数据，结合大模型的数据分析与长时推理能力，实现对智能网联汽车运行异常状态、智能驾驶功能安全等多维安全状态的监测，为提升智能网联汽车安全水平，保障大规模车辆运行安全提供支撑。</w:t>
            </w:r>
          </w:p>
          <w:p w14:paraId="264F5FB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选题的目标包括：①建立智能网联汽车车载网络-车辆行为数据集；②研发智能网联汽车安全监测专用大模型；③基于专用大模型，实现对智能网联汽车行为异常、运行安全等监测与分析。</w:t>
            </w:r>
          </w:p>
        </w:tc>
      </w:tr>
      <w:tr w14:paraId="4EAC11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8" w:hRule="atLeast"/>
        </w:trPr>
        <w:tc>
          <w:tcPr>
            <w:tcW w:w="1823" w:type="dxa"/>
            <w:vAlign w:val="center"/>
          </w:tcPr>
          <w:p w14:paraId="4467196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14" w:type="dxa"/>
            <w:vAlign w:val="center"/>
          </w:tcPr>
          <w:p w14:paraId="228CCAA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1.研发出智能网联汽车安全监测专用大模型，并基于车载网络-车辆行为数据集开展测试验证；</w:t>
            </w:r>
          </w:p>
          <w:p w14:paraId="5323914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提交专用大模型代码和研发报告、测试报告。</w:t>
            </w:r>
          </w:p>
        </w:tc>
      </w:tr>
      <w:tr w14:paraId="2BB3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trPr>
        <w:tc>
          <w:tcPr>
            <w:tcW w:w="1823" w:type="dxa"/>
            <w:vAlign w:val="center"/>
          </w:tcPr>
          <w:p w14:paraId="05F76B8D">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作品评审</w:t>
            </w:r>
          </w:p>
          <w:p w14:paraId="4213348E">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标准</w:t>
            </w:r>
          </w:p>
        </w:tc>
        <w:tc>
          <w:tcPr>
            <w:tcW w:w="6614" w:type="dxa"/>
            <w:vAlign w:val="center"/>
          </w:tcPr>
          <w:p w14:paraId="02AED3A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1.智能网联汽车安全监测专用大模型具有创新性，包括但不限于模型参数微调、提示词构建、RAG等过程；</w:t>
            </w:r>
          </w:p>
          <w:p w14:paraId="02D0DFD9">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2.专用大模型对智能网联汽车安全事件、异常行为的识别准确率≥90%；</w:t>
            </w:r>
          </w:p>
          <w:p w14:paraId="70C1309D">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提交的专用大模型代码编码规范、可稳定运行；技术报告内容规范、表述清晰。</w:t>
            </w:r>
          </w:p>
        </w:tc>
      </w:tr>
      <w:tr w14:paraId="7AB8F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3" w:hRule="atLeast"/>
        </w:trPr>
        <w:tc>
          <w:tcPr>
            <w:tcW w:w="1823" w:type="dxa"/>
            <w:vAlign w:val="center"/>
          </w:tcPr>
          <w:p w14:paraId="0B0E35E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其他</w:t>
            </w:r>
          </w:p>
        </w:tc>
        <w:tc>
          <w:tcPr>
            <w:tcW w:w="6614" w:type="dxa"/>
            <w:vAlign w:val="center"/>
          </w:tcPr>
          <w:p w14:paraId="11EB79C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p>
        </w:tc>
      </w:tr>
    </w:tbl>
    <w:p w14:paraId="7B554A05">
      <w:pPr>
        <w:rPr>
          <w:rFonts w:ascii="Arial" w:hAnsi="Arial" w:eastAsia="Arial" w:cs="Arial"/>
          <w:sz w:val="21"/>
          <w:szCs w:val="21"/>
        </w:rPr>
        <w:sectPr>
          <w:footerReference r:id="rId5" w:type="default"/>
          <w:pgSz w:w="11906" w:h="16838"/>
          <w:pgMar w:top="1440" w:right="1800" w:bottom="1440" w:left="1800" w:header="0" w:footer="1799" w:gutter="0"/>
          <w:cols w:space="720" w:num="1"/>
        </w:sectPr>
      </w:pPr>
    </w:p>
    <w:p w14:paraId="22CB81A2">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27"/>
        <w:tblW w:w="8465" w:type="dxa"/>
        <w:tblInd w:w="1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6643"/>
      </w:tblGrid>
      <w:tr w14:paraId="4F619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2" w:hRule="atLeast"/>
        </w:trPr>
        <w:tc>
          <w:tcPr>
            <w:tcW w:w="1822" w:type="dxa"/>
            <w:vAlign w:val="center"/>
          </w:tcPr>
          <w:p w14:paraId="0D088728">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保障措施</w:t>
            </w:r>
          </w:p>
        </w:tc>
        <w:tc>
          <w:tcPr>
            <w:tcW w:w="6643" w:type="dxa"/>
            <w:vAlign w:val="center"/>
          </w:tcPr>
          <w:p w14:paraId="3775A03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为了确保参赛团队在比赛中取得优异成绩，将提供全方位的指导帮助和支持，包括：</w:t>
            </w:r>
          </w:p>
          <w:p w14:paraId="14F4309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参观应用场景：将安排参赛团队参观相关的实际应用场景，以便更好地了解行业现状、发展趋势和应用前景</w:t>
            </w:r>
          </w:p>
          <w:p w14:paraId="04DD237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实践调研：将组织参赛团队进行实践调研，深入了解行业内的实际问题和需求。</w:t>
            </w:r>
          </w:p>
          <w:p w14:paraId="5CA73D20">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配备专门指导人员：将为参赛团队配备经验丰富的指导老师，提供技术指导、创意指导和策略建议等。</w:t>
            </w:r>
          </w:p>
        </w:tc>
      </w:tr>
      <w:tr w14:paraId="5AA1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8" w:hRule="atLeast"/>
        </w:trPr>
        <w:tc>
          <w:tcPr>
            <w:tcW w:w="1822" w:type="dxa"/>
            <w:vAlign w:val="center"/>
          </w:tcPr>
          <w:p w14:paraId="28745EFF">
            <w:pPr>
              <w:adjustRightInd w:val="0"/>
              <w:snapToGrid w:val="0"/>
              <w:spacing w:line="560" w:lineRule="exact"/>
              <w:ind w:left="0" w:leftChars="0" w:right="0" w:rightChars="0" w:firstLine="0" w:firstLineChars="0"/>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43" w:type="dxa"/>
            <w:vAlign w:val="center"/>
          </w:tcPr>
          <w:p w14:paraId="7BFF72AA">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一、奖项设置</w:t>
            </w:r>
          </w:p>
          <w:p w14:paraId="6AA90D4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原则上设“擂主”团队1个，根据实际情况评出相应的特等奖、一等奖、二等奖、三等奖项目若干。</w:t>
            </w:r>
          </w:p>
          <w:p w14:paraId="2D6C8A58">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二、激励措施</w:t>
            </w:r>
          </w:p>
          <w:p w14:paraId="07807F72">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1.获奖团队将依据等次获得实习实践机会，就业岗位推荐，求职“绿色通道”等。</w:t>
            </w:r>
          </w:p>
          <w:p w14:paraId="772536BF">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2.对于被选为“擂主”团队的获奖者，将提供以下奖励措施：</w:t>
            </w:r>
          </w:p>
          <w:p w14:paraId="58E15194">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优先实习实践机会：为“擂主”团队成员提供优先实习实践的机会，帮助他们提升实践能力。</w:t>
            </w:r>
          </w:p>
          <w:p w14:paraId="210B2746">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优先就业岗位推荐：为“擂主”团队成员提供优先就业岗位推荐的机会，增加他们的就业机会。</w:t>
            </w:r>
          </w:p>
          <w:p w14:paraId="64CA06F5">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产教融合：我们将为获奖团队所在高校提供与企业合作的机会，推动产教融合，促进科技成果转化。</w:t>
            </w:r>
          </w:p>
          <w:p w14:paraId="453846E7">
            <w:pPr>
              <w:widowControl w:val="0"/>
              <w:adjustRightInd w:val="0"/>
              <w:snapToGrid w:val="0"/>
              <w:ind w:firstLine="504" w:firstLineChars="200"/>
              <w:jc w:val="both"/>
              <w:rPr>
                <w:rFonts w:hint="eastAsia" w:ascii="Times New Roman" w:hAnsi="Times New Roman" w:eastAsia="仿宋_GB2312" w:cs="仿宋_GB2312"/>
                <w:b w:val="0"/>
                <w:bCs/>
                <w:spacing w:val="6"/>
                <w:kern w:val="2"/>
                <w:sz w:val="24"/>
                <w:szCs w:val="24"/>
                <w:lang w:val="en-US" w:eastAsia="zh-CN"/>
              </w:rPr>
            </w:pPr>
            <w:r>
              <w:rPr>
                <w:rFonts w:hint="eastAsia" w:ascii="Times New Roman" w:hAnsi="Times New Roman" w:eastAsia="仿宋_GB2312" w:cs="仿宋_GB2312"/>
                <w:b w:val="0"/>
                <w:bCs/>
                <w:spacing w:val="6"/>
                <w:kern w:val="2"/>
                <w:sz w:val="24"/>
                <w:szCs w:val="24"/>
                <w:lang w:val="en-US" w:eastAsia="zh-CN"/>
              </w:rPr>
              <w:t>专属成果孵化政策：为“擂主”团队提供专属的成果孵化政策，支持他们将获奖项目转化为实际产品和服务。</w:t>
            </w:r>
          </w:p>
        </w:tc>
      </w:tr>
    </w:tbl>
    <w:p w14:paraId="2609EC72">
      <w:pPr>
        <w:spacing w:before="108" w:line="220" w:lineRule="auto"/>
        <w:outlineLvl w:val="1"/>
        <w:rPr>
          <w:rFonts w:hint="eastAsia" w:ascii="黑体" w:hAnsi="黑体" w:eastAsia="黑体" w:cs="黑体"/>
          <w:b w:val="0"/>
          <w:bCs w:val="0"/>
          <w:sz w:val="32"/>
          <w:szCs w:val="32"/>
        </w:rPr>
      </w:pPr>
      <w:r>
        <w:rPr>
          <w:rFonts w:hint="eastAsia" w:ascii="黑体" w:hAnsi="黑体" w:eastAsia="黑体" w:cs="黑体"/>
          <w:b w:val="0"/>
          <w:bCs w:val="0"/>
          <w:spacing w:val="-3"/>
          <w:sz w:val="32"/>
          <w:szCs w:val="32"/>
        </w:rPr>
        <w:t>四、选题意义</w:t>
      </w:r>
    </w:p>
    <w:p w14:paraId="2AD2F6F2">
      <w:pPr>
        <w:spacing w:line="19" w:lineRule="auto"/>
        <w:rPr>
          <w:rFonts w:ascii="Arial"/>
          <w:sz w:val="2"/>
        </w:rPr>
      </w:pPr>
    </w:p>
    <w:tbl>
      <w:tblPr>
        <w:tblStyle w:val="27"/>
        <w:tblW w:w="8469" w:type="dxa"/>
        <w:tblInd w:w="1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22"/>
        <w:gridCol w:w="6647"/>
      </w:tblGrid>
      <w:tr w14:paraId="01CE6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0" w:hRule="atLeast"/>
        </w:trPr>
        <w:tc>
          <w:tcPr>
            <w:tcW w:w="1822" w:type="dxa"/>
            <w:vAlign w:val="center"/>
          </w:tcPr>
          <w:p w14:paraId="609E022F">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647" w:type="dxa"/>
            <w:vAlign w:val="top"/>
          </w:tcPr>
          <w:p w14:paraId="5E56E451">
            <w:pPr>
              <w:pStyle w:val="28"/>
              <w:spacing w:before="89" w:line="229" w:lineRule="auto"/>
              <w:ind w:left="22" w:right="50" w:firstLine="520"/>
              <w:jc w:val="both"/>
              <w:rPr>
                <w:rFonts w:hint="eastAsia" w:ascii="仿宋_GB2312" w:hAnsi="仿宋_GB2312" w:eastAsia="仿宋_GB2312" w:cs="仿宋_GB2312"/>
                <w:sz w:val="24"/>
                <w:szCs w:val="24"/>
              </w:rPr>
            </w:pPr>
            <w:r>
              <w:rPr>
                <w:rFonts w:hint="eastAsia" w:ascii="仿宋_GB2312" w:hAnsi="仿宋_GB2312" w:eastAsia="仿宋_GB2312" w:cs="仿宋_GB2312"/>
                <w:spacing w:val="1"/>
                <w:sz w:val="24"/>
                <w:szCs w:val="24"/>
              </w:rPr>
              <w:t>智能网联汽车已成为全球汽车产业发展的战略方</w:t>
            </w:r>
            <w:r>
              <w:rPr>
                <w:rFonts w:hint="eastAsia" w:ascii="仿宋_GB2312" w:hAnsi="仿宋_GB2312" w:eastAsia="仿宋_GB2312" w:cs="仿宋_GB2312"/>
                <w:sz w:val="24"/>
                <w:szCs w:val="24"/>
              </w:rPr>
              <w:t xml:space="preserve">向，同 </w:t>
            </w:r>
            <w:r>
              <w:rPr>
                <w:rFonts w:hint="eastAsia" w:ascii="仿宋_GB2312" w:hAnsi="仿宋_GB2312" w:eastAsia="仿宋_GB2312" w:cs="仿宋_GB2312"/>
                <w:spacing w:val="2"/>
                <w:sz w:val="24"/>
                <w:szCs w:val="24"/>
              </w:rPr>
              <w:t>时也是我国汽车强国建设的战略选择。安全是智能网</w:t>
            </w:r>
            <w:r>
              <w:rPr>
                <w:rFonts w:hint="eastAsia" w:ascii="仿宋_GB2312" w:hAnsi="仿宋_GB2312" w:eastAsia="仿宋_GB2312" w:cs="仿宋_GB2312"/>
                <w:spacing w:val="1"/>
                <w:sz w:val="24"/>
                <w:szCs w:val="24"/>
              </w:rPr>
              <w:t>联汽车</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大规模商业化应用面临的最大挑战，智能网联汽车在</w:t>
            </w:r>
            <w:r>
              <w:rPr>
                <w:rFonts w:hint="eastAsia" w:ascii="仿宋_GB2312" w:hAnsi="仿宋_GB2312" w:eastAsia="仿宋_GB2312" w:cs="仿宋_GB2312"/>
                <w:spacing w:val="1"/>
                <w:sz w:val="24"/>
                <w:szCs w:val="24"/>
              </w:rPr>
              <w:t>复杂交</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通场景下可能出现因安全问题导致的严重事故，威胁交</w:t>
            </w:r>
            <w:r>
              <w:rPr>
                <w:rFonts w:hint="eastAsia" w:ascii="仿宋_GB2312" w:hAnsi="仿宋_GB2312" w:eastAsia="仿宋_GB2312" w:cs="仿宋_GB2312"/>
                <w:spacing w:val="1"/>
                <w:sz w:val="24"/>
                <w:szCs w:val="24"/>
              </w:rPr>
              <w:t>通参</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与者生命财产安全。选题聚焦智能网联汽车与人工智</w:t>
            </w:r>
            <w:r>
              <w:rPr>
                <w:rFonts w:hint="eastAsia" w:ascii="仿宋_GB2312" w:hAnsi="仿宋_GB2312" w:eastAsia="仿宋_GB2312" w:cs="仿宋_GB2312"/>
                <w:spacing w:val="1"/>
                <w:sz w:val="24"/>
                <w:szCs w:val="24"/>
              </w:rPr>
              <w:t>能结合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方向，通过构建智能网联汽车安全监测专用大模型，赋能智</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pacing w:val="2"/>
                <w:sz w:val="24"/>
                <w:szCs w:val="24"/>
              </w:rPr>
              <w:t>能网联汽车全场景运行安全，对于突破智能网联汽车安全核</w:t>
            </w:r>
            <w:r>
              <w:rPr>
                <w:rFonts w:hint="eastAsia" w:ascii="仿宋_GB2312" w:hAnsi="仿宋_GB2312" w:eastAsia="仿宋_GB2312" w:cs="仿宋_GB2312"/>
                <w:spacing w:val="1"/>
                <w:sz w:val="24"/>
                <w:szCs w:val="24"/>
              </w:rPr>
              <w:t xml:space="preserve"> </w:t>
            </w:r>
            <w:r>
              <w:rPr>
                <w:rFonts w:hint="eastAsia" w:ascii="仿宋_GB2312" w:hAnsi="仿宋_GB2312" w:eastAsia="仿宋_GB2312" w:cs="仿宋_GB2312"/>
                <w:spacing w:val="-1"/>
                <w:sz w:val="24"/>
                <w:szCs w:val="24"/>
              </w:rPr>
              <w:t>心技术、提升智能网联汽车技术水平具有重要意义。</w:t>
            </w:r>
          </w:p>
        </w:tc>
      </w:tr>
      <w:tr w14:paraId="7B238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0" w:hRule="atLeast"/>
        </w:trPr>
        <w:tc>
          <w:tcPr>
            <w:tcW w:w="1822" w:type="dxa"/>
            <w:vAlign w:val="center"/>
          </w:tcPr>
          <w:p w14:paraId="342DA7DD">
            <w:pPr>
              <w:pStyle w:val="28"/>
              <w:spacing w:before="81" w:line="219" w:lineRule="auto"/>
              <w:jc w:val="center"/>
              <w:rPr>
                <w:rFonts w:hint="eastAsia" w:ascii="楷体_GB2312" w:hAnsi="楷体_GB2312" w:eastAsia="楷体_GB2312" w:cs="楷体_GB2312"/>
                <w:spacing w:val="3"/>
                <w:sz w:val="28"/>
                <w:szCs w:val="28"/>
              </w:rPr>
            </w:pPr>
            <w:r>
              <w:rPr>
                <w:rFonts w:hint="eastAsia" w:ascii="楷体_GB2312" w:hAnsi="楷体_GB2312" w:eastAsia="楷体_GB2312" w:cs="楷体_GB2312"/>
                <w:spacing w:val="1"/>
                <w:sz w:val="28"/>
                <w:szCs w:val="28"/>
              </w:rPr>
              <w:t>经济社会效益</w:t>
            </w:r>
          </w:p>
        </w:tc>
        <w:tc>
          <w:tcPr>
            <w:tcW w:w="6647" w:type="dxa"/>
            <w:vAlign w:val="top"/>
          </w:tcPr>
          <w:p w14:paraId="545ED344">
            <w:pPr>
              <w:pStyle w:val="28"/>
              <w:spacing w:before="89" w:line="229" w:lineRule="auto"/>
              <w:ind w:left="22" w:right="50" w:firstLine="520"/>
              <w:jc w:val="both"/>
              <w:rPr>
                <w:rFonts w:hint="eastAsia" w:ascii="仿宋_GB2312" w:hAnsi="仿宋_GB2312" w:eastAsia="仿宋_GB2312" w:cs="仿宋_GB2312"/>
                <w:spacing w:val="1"/>
                <w:sz w:val="24"/>
                <w:szCs w:val="24"/>
              </w:rPr>
            </w:pPr>
            <w:r>
              <w:rPr>
                <w:rFonts w:hint="eastAsia" w:ascii="仿宋_GB2312" w:hAnsi="仿宋_GB2312" w:eastAsia="仿宋_GB2312" w:cs="仿宋_GB2312"/>
                <w:sz w:val="24"/>
                <w:szCs w:val="24"/>
              </w:rPr>
              <w:t xml:space="preserve">汽车是我国国民经济支柱产业、是科技创新的主战场， </w:t>
            </w:r>
            <w:r>
              <w:rPr>
                <w:rFonts w:hint="eastAsia" w:ascii="仿宋_GB2312" w:hAnsi="仿宋_GB2312" w:eastAsia="仿宋_GB2312" w:cs="仿宋_GB2312"/>
                <w:spacing w:val="-1"/>
                <w:sz w:val="24"/>
                <w:szCs w:val="24"/>
              </w:rPr>
              <w:t>项目选题围绕智能网联汽车+人工智能开展创新研究与突破，</w:t>
            </w:r>
            <w:r>
              <w:rPr>
                <w:rFonts w:hint="eastAsia" w:ascii="仿宋_GB2312" w:hAnsi="仿宋_GB2312" w:eastAsia="仿宋_GB2312" w:cs="仿宋_GB2312"/>
                <w:spacing w:val="16"/>
                <w:sz w:val="24"/>
                <w:szCs w:val="24"/>
              </w:rPr>
              <w:t xml:space="preserve"> </w:t>
            </w:r>
            <w:r>
              <w:rPr>
                <w:rFonts w:hint="eastAsia" w:ascii="仿宋_GB2312" w:hAnsi="仿宋_GB2312" w:eastAsia="仿宋_GB2312" w:cs="仿宋_GB2312"/>
                <w:spacing w:val="-4"/>
                <w:sz w:val="24"/>
                <w:szCs w:val="24"/>
              </w:rPr>
              <w:t>对于促进智能网联汽车开展大规模商业化应用、保障交</w:t>
            </w:r>
            <w:r>
              <w:rPr>
                <w:rFonts w:hint="eastAsia" w:ascii="仿宋_GB2312" w:hAnsi="仿宋_GB2312" w:eastAsia="仿宋_GB2312" w:cs="仿宋_GB2312"/>
                <w:spacing w:val="-5"/>
                <w:sz w:val="24"/>
                <w:szCs w:val="24"/>
              </w:rPr>
              <w:t>通运</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5"/>
                <w:sz w:val="24"/>
                <w:szCs w:val="24"/>
              </w:rPr>
              <w:t>输系统安全具有重要意义，将为我国汽车核心技术自立自强、</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5"/>
                <w:sz w:val="24"/>
                <w:szCs w:val="24"/>
              </w:rPr>
              <w:t>产业安全高质量发展提供重要支撑。</w:t>
            </w:r>
          </w:p>
        </w:tc>
      </w:tr>
    </w:tbl>
    <w:p w14:paraId="4A188078">
      <w:pPr>
        <w:rPr>
          <w:rFonts w:ascii="楷体" w:hAnsi="楷体" w:eastAsia="楷体" w:cs="楷体"/>
          <w:spacing w:val="8"/>
          <w:sz w:val="23"/>
          <w:szCs w:val="23"/>
        </w:rPr>
      </w:pPr>
      <w:r>
        <w:rPr>
          <w:rFonts w:ascii="楷体" w:hAnsi="楷体" w:eastAsia="楷体" w:cs="楷体"/>
          <w:spacing w:val="8"/>
          <w:sz w:val="23"/>
          <w:szCs w:val="23"/>
        </w:rPr>
        <w:br w:type="page"/>
      </w:r>
    </w:p>
    <w:p w14:paraId="18F4C2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D14414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7</w:t>
      </w:r>
    </w:p>
    <w:p w14:paraId="4C472EF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59F32B1E">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hAnsi="Times New Roman" w:eastAsia="方正黑体简体" w:cs="Times New Roman"/>
          <w:bCs/>
          <w:spacing w:val="6"/>
          <w:sz w:val="32"/>
          <w:szCs w:val="32"/>
        </w:rPr>
        <w:t>一、</w:t>
      </w:r>
      <w:r>
        <w:rPr>
          <w:rFonts w:hint="eastAsia" w:ascii="方正黑体简体" w:hAnsi="Times New Roman" w:eastAsia="方正黑体简体" w:cs="Times New Roman"/>
          <w:bCs/>
          <w:spacing w:val="6"/>
          <w:sz w:val="32"/>
          <w:szCs w:val="32"/>
          <w:highlight w:val="none"/>
        </w:rPr>
        <w:t>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622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5862FE8">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18BEF93F">
            <w:pPr>
              <w:adjustRightInd w:val="0"/>
              <w:snapToGrid w:val="0"/>
              <w:jc w:val="center"/>
              <w:rPr>
                <w:rFonts w:hint="eastAsia" w:ascii="仿宋_GB2312" w:hAnsi="仿宋_GB2312" w:eastAsia="仿宋_GB2312" w:cs="仿宋_GB2312"/>
              </w:rPr>
            </w:pPr>
            <w:r>
              <w:rPr>
                <w:rFonts w:ascii="仿宋_GB2312" w:hAnsi="仿宋_GB2312" w:eastAsia="仿宋_GB2312" w:cs="仿宋_GB2312"/>
              </w:rPr>
              <w:t>中国移动通信集团北京有限公司</w:t>
            </w:r>
          </w:p>
        </w:tc>
      </w:tr>
      <w:tr w14:paraId="211F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EE4454">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1E0B0AFF">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p>
        </w:tc>
      </w:tr>
      <w:tr w14:paraId="3699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574BEB8">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709E753E">
            <w:pPr>
              <w:adjustRightInd w:val="0"/>
              <w:snapToGrid/>
              <w:jc w:val="center"/>
              <w:rPr>
                <w:rFonts w:hint="eastAsia" w:ascii="仿宋_GB2312" w:hAnsi="仿宋_GB2312" w:eastAsia="仿宋_GB2312" w:cs="仿宋_GB2312"/>
              </w:rPr>
            </w:pPr>
            <w:r>
              <w:rPr>
                <w:rFonts w:hint="eastAsia" w:ascii="仿宋_GB2312" w:hAnsi="仿宋_GB2312" w:eastAsia="仿宋_GB2312" w:cs="仿宋_GB2312"/>
              </w:rPr>
              <w:t>东直门南大街7号</w:t>
            </w:r>
          </w:p>
        </w:tc>
      </w:tr>
      <w:tr w14:paraId="12B7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0460E14">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03B8ADFF">
            <w:pPr>
              <w:adjustRightInd w:val="0"/>
              <w:snapToGrid w:val="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中国移动通信集团北京有限公司隶属于中国移动通信集团公司，于1999年8月28日注册成立，主要经营移动话音、数据等基础通信业务及新型信息服务。中国移动北京公司移动通信网络质量和信息服务能力处于行业领先水平，在首都信息化发展进程中，始终发挥着主导作用。经过几年的跨越式发展，中国移动北京公司已经建成一个覆盖范围广、通信质量高、业务品种丰富、服务水平一流的综合信息服务网络。</w:t>
            </w:r>
          </w:p>
        </w:tc>
      </w:tr>
      <w:tr w14:paraId="453A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F4BBE86">
            <w:pPr>
              <w:adjustRightInd w:val="0"/>
              <w:snapToGrid w:val="0"/>
              <w:ind w:firstLine="280" w:firstLineChars="100"/>
              <w:jc w:val="both"/>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6BFE7F2D">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赵 澍</w:t>
            </w:r>
          </w:p>
        </w:tc>
        <w:tc>
          <w:tcPr>
            <w:tcW w:w="1073" w:type="dxa"/>
            <w:vAlign w:val="center"/>
          </w:tcPr>
          <w:p w14:paraId="263AC961">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5031D51">
            <w:pPr>
              <w:adjustRightInd w:val="0"/>
              <w:snapToGrid/>
              <w:jc w:val="center"/>
              <w:rPr>
                <w:rFonts w:ascii="Times New Roman" w:hAnsi="Times New Roman" w:eastAsia="方正仿宋简体" w:cs="Times New Roman"/>
              </w:rPr>
            </w:pPr>
            <w:r>
              <w:rPr>
                <w:rFonts w:hint="eastAsia" w:ascii="Times New Roman" w:hAnsi="Times New Roman" w:eastAsia="方正仿宋简体" w:cs="Times New Roman"/>
              </w:rPr>
              <w:t>部门经理</w:t>
            </w:r>
          </w:p>
        </w:tc>
      </w:tr>
      <w:tr w14:paraId="3B615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AA9B6B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771E557">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13488795182</w:t>
            </w:r>
          </w:p>
        </w:tc>
        <w:tc>
          <w:tcPr>
            <w:tcW w:w="1073" w:type="dxa"/>
            <w:vAlign w:val="center"/>
          </w:tcPr>
          <w:p w14:paraId="5141A42A">
            <w:pPr>
              <w:adjustRightInd w:val="0"/>
              <w:snapToGrid/>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D156998">
            <w:pPr>
              <w:adjustRightInd w:val="0"/>
              <w:snapToGrid w:val="0"/>
              <w:jc w:val="center"/>
              <w:rPr>
                <w:rFonts w:ascii="Times New Roman" w:hAnsi="Times New Roman" w:eastAsia="方正仿宋简体" w:cs="Times New Roman"/>
              </w:rPr>
            </w:pPr>
            <w:r>
              <w:rPr>
                <w:rFonts w:hint="eastAsia" w:ascii="仿宋_GB2312" w:hAnsi="仿宋_GB2312" w:eastAsia="仿宋_GB2312" w:cs="仿宋_GB2312"/>
                <w:bCs/>
                <w:spacing w:val="6"/>
                <w:szCs w:val="28"/>
                <w:lang w:val="en-US"/>
              </w:rPr>
              <w:t>jsymm52704555</w:t>
            </w:r>
          </w:p>
        </w:tc>
      </w:tr>
    </w:tbl>
    <w:p w14:paraId="49CB5DA0">
      <w:pPr>
        <w:tabs>
          <w:tab w:val="left" w:pos="8640"/>
        </w:tabs>
        <w:adjustRightInd w:val="0"/>
        <w:snapToGrid w:val="0"/>
        <w:spacing w:line="560" w:lineRule="exact"/>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1CFF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DA7EF9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AA1B35">
            <w:pPr>
              <w:adjustRightInd w:val="0"/>
              <w:snapToGrid w:val="0"/>
              <w:jc w:val="center"/>
              <w:rPr>
                <w:rFonts w:hint="eastAsia" w:ascii="仿宋_GB2312" w:hAnsi="仿宋_GB2312" w:eastAsia="仿宋_GB2312" w:cs="仿宋_GB2312"/>
                <w:color w:val="000000"/>
              </w:rPr>
            </w:pPr>
            <w:r>
              <w:rPr>
                <w:rFonts w:ascii="仿宋_GB2312" w:hAnsi="仿宋_GB2312" w:eastAsia="仿宋_GB2312" w:cs="仿宋_GB2312"/>
                <w:color w:val="000000"/>
              </w:rPr>
              <w:t>警擎：大模型推理增强的智慧警务系统研究</w:t>
            </w:r>
          </w:p>
        </w:tc>
      </w:tr>
      <w:tr w14:paraId="3663CD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02929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C2AA53">
            <w:pPr>
              <w:adjustRightInd w:val="0"/>
              <w:snapToGrid w:val="0"/>
              <w:jc w:val="center"/>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人工智能</w:t>
            </w:r>
          </w:p>
        </w:tc>
      </w:tr>
      <w:tr w14:paraId="242D1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199436">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9BAACF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社会治理精细化与警务实战复杂化并行发展的背景下，公安业务正加速由“信息支撑型”向“认知决策型”演进。警务人员需在信息高度非结构化、要素多维且时效要求极高的条件下完成判断与处置，但现有系统多停留在数据展示与规则触发层面，难以支撑复杂语境下的综合研判，逐步暴露出能力瓶颈。</w:t>
            </w:r>
          </w:p>
          <w:p w14:paraId="3989AD7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当前警务实战主要面临警情理解能力不足、风险评估手段单一以及复杂场景下目标发现与资源利用效率偏低等问题。口语化、非规范的报警信息难以被准确理解与定性，多因素叠加形成的风险难以被稳定刻画，自然语言需求与视频图像资源之间缺乏有效关联，叠加算力与成本限制，制约了实战应用的精准性与规模化开展。</w:t>
            </w:r>
          </w:p>
          <w:p w14:paraId="0C2BC28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基于上述需求，本命题聚焦构建面向公安核心业务的智能警务认知与决策支撑体系，提升系统对非规范语义和复杂语境的理解能力，融合多源警务信息，支持接处警、布控防控、社会面治理和视频实战等多场景综合研判与辅助决策，并在实时响应与部署成本之间取得平衡，推动警务工作由依赖人工经验的被动响应，向智能理解、辅助决策与闭环反馈并重的实战模式转变，为新质警务战斗力建设提供支撑。</w:t>
            </w:r>
          </w:p>
        </w:tc>
      </w:tr>
      <w:tr w14:paraId="103A6F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9259D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5DCD3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参赛团队需围绕智慧警务大模型的实战需求，在确保数据安全与合规的前提下，系统性地完成从多源数据治理到跨模态决策模型构建的全链路方案设计。具体要求如下：</w:t>
            </w:r>
          </w:p>
          <w:p w14:paraId="5C978A08">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构建集语义研判、特征溯源、云边协同和决策支持于一体的智慧警务实战体系。参赛者应结合警务实战在接处警、目标布控及场景感知方面的表现，聚焦于垂直领域，实现对警情风险的精准预判、对警情目标的敏捷溯源，并为辅助决策提供逻辑严密的支撑路径。</w:t>
            </w:r>
          </w:p>
          <w:p w14:paraId="3C972BD3">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具备卓越的实际应用价值与实战赋能效能。作品应能有效解决现实中的治理难题，如提升警情处理的流转效率、强化非人脸特征下的目标布控能力、降低自动化预警的干扰误差，从而显著优化警务资源的配置效能。</w:t>
            </w:r>
          </w:p>
          <w:p w14:paraId="0E790C1B">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提供系统性的功能设计方案与核心算法构建描述。参赛者需对方案设计的逻辑合理性进行自主评估，提交材料包括但不限于作品设计报告、技术实现说明等文档，以及支撑系统运行的作品源代码。</w:t>
            </w:r>
          </w:p>
          <w:p w14:paraId="3C900474">
            <w:pPr>
              <w:adjustRightInd w:val="0"/>
              <w:snapToGrid w:val="0"/>
              <w:ind w:firstLine="504" w:firstLineChars="200"/>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彰显积极向上的价值观与恪守学术道德准则。作品应体现对平安中国建设的深刻责任感。参赛者应当保证作品的原创性，杜绝一切抄袭或剽窃他人成果的行为，严格遵守国家有关知识产权保护及数据安全的法律法规。</w:t>
            </w:r>
          </w:p>
        </w:tc>
      </w:tr>
      <w:tr w14:paraId="63208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8D06F2">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5CDAB9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08D96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作品完整性：</w:t>
            </w:r>
            <w:r>
              <w:rPr>
                <w:rFonts w:ascii="仿宋_GB2312" w:hAnsi="仿宋_GB2312" w:eastAsia="仿宋_GB2312" w:cs="仿宋_GB2312"/>
                <w:bCs/>
                <w:color w:val="000000"/>
                <w:spacing w:val="6"/>
                <w:szCs w:val="28"/>
              </w:rPr>
              <w:t>40</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独立研发并完成智慧警务大模型系统，具备完整的语义判定、目标的感知溯源、预警复核等核心能力，功能完整可用，为</w:t>
            </w:r>
            <w:r>
              <w:rPr>
                <w:rFonts w:ascii="仿宋_GB2312" w:hAnsi="仿宋_GB2312" w:eastAsia="仿宋_GB2312" w:cs="仿宋_GB2312"/>
                <w:bCs/>
                <w:color w:val="000000"/>
                <w:spacing w:val="6"/>
                <w:szCs w:val="28"/>
              </w:rPr>
              <w:t>40</w:t>
            </w:r>
            <w:r>
              <w:rPr>
                <w:rFonts w:hint="eastAsia" w:ascii="仿宋_GB2312" w:hAnsi="仿宋_GB2312" w:eastAsia="仿宋_GB2312" w:cs="仿宋_GB2312"/>
                <w:bCs/>
                <w:color w:val="000000"/>
                <w:spacing w:val="6"/>
                <w:szCs w:val="28"/>
              </w:rPr>
              <w:t>分。如未完成核心业务闭环，按照完成比例给予评定，最高不超过</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408970D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w:t>
            </w:r>
            <w:r>
              <w:rPr>
                <w:rFonts w:hint="eastAsia" w:ascii="仿宋_GB2312" w:hAnsi="仿宋_GB2312" w:eastAsia="仿宋_GB2312" w:cs="仿宋_GB2312"/>
                <w:bCs/>
                <w:color w:val="000000"/>
                <w:spacing w:val="6"/>
                <w:szCs w:val="28"/>
              </w:rPr>
              <w:t>应用创新性：</w:t>
            </w:r>
            <w:r>
              <w:rPr>
                <w:rFonts w:ascii="仿宋_GB2312" w:hAnsi="仿宋_GB2312" w:eastAsia="仿宋_GB2312" w:cs="仿宋_GB2312"/>
                <w:bCs/>
                <w:color w:val="000000"/>
                <w:spacing w:val="6"/>
                <w:szCs w:val="28"/>
              </w:rPr>
              <w:t>25</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根据作品在警务实战场景的覆盖深度、业务适配性、社会治理价值等方面，综合评定</w:t>
            </w:r>
            <w:r>
              <w:rPr>
                <w:rFonts w:ascii="仿宋_GB2312" w:hAnsi="仿宋_GB2312" w:eastAsia="仿宋_GB2312" w:cs="仿宋_GB2312"/>
                <w:bCs/>
                <w:color w:val="000000"/>
                <w:spacing w:val="6"/>
                <w:szCs w:val="28"/>
              </w:rPr>
              <w:t>0-25</w:t>
            </w:r>
            <w:r>
              <w:rPr>
                <w:rFonts w:hint="eastAsia" w:ascii="仿宋_GB2312" w:hAnsi="仿宋_GB2312" w:eastAsia="仿宋_GB2312" w:cs="仿宋_GB2312"/>
                <w:bCs/>
                <w:color w:val="000000"/>
                <w:spacing w:val="6"/>
                <w:szCs w:val="28"/>
              </w:rPr>
              <w:t>分。</w:t>
            </w:r>
          </w:p>
          <w:p w14:paraId="73BA4D3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技术创新性：</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作品在警务行业知识内化、多模态语义空间对齐（如</w:t>
            </w:r>
            <w:r>
              <w:rPr>
                <w:rFonts w:ascii="仿宋_GB2312" w:hAnsi="仿宋_GB2312" w:eastAsia="仿宋_GB2312" w:cs="仿宋_GB2312"/>
                <w:bCs/>
                <w:color w:val="000000"/>
                <w:spacing w:val="6"/>
                <w:szCs w:val="28"/>
              </w:rPr>
              <w:t>CLIP</w:t>
            </w:r>
            <w:r>
              <w:rPr>
                <w:rFonts w:hint="eastAsia" w:ascii="仿宋_GB2312" w:hAnsi="仿宋_GB2312" w:eastAsia="仿宋_GB2312" w:cs="仿宋_GB2312"/>
                <w:bCs/>
                <w:color w:val="000000"/>
                <w:spacing w:val="6"/>
                <w:szCs w:val="28"/>
              </w:rPr>
              <w:t>架构优化）、高质量警务数据集构建及</w:t>
            </w:r>
            <w:r>
              <w:rPr>
                <w:rFonts w:ascii="仿宋_GB2312" w:hAnsi="仿宋_GB2312" w:eastAsia="仿宋_GB2312" w:cs="仿宋_GB2312"/>
                <w:bCs/>
                <w:color w:val="000000"/>
                <w:spacing w:val="6"/>
                <w:szCs w:val="28"/>
              </w:rPr>
              <w:t>RAG</w:t>
            </w:r>
            <w:r>
              <w:rPr>
                <w:rFonts w:hint="eastAsia" w:ascii="仿宋_GB2312" w:hAnsi="仿宋_GB2312" w:eastAsia="仿宋_GB2312" w:cs="仿宋_GB2312"/>
                <w:bCs/>
                <w:color w:val="000000"/>
                <w:spacing w:val="6"/>
                <w:szCs w:val="28"/>
              </w:rPr>
              <w:t>增强逻辑等方面有显著创新，综合评定</w:t>
            </w:r>
            <w:r>
              <w:rPr>
                <w:rFonts w:ascii="仿宋_GB2312" w:hAnsi="仿宋_GB2312" w:eastAsia="仿宋_GB2312" w:cs="仿宋_GB2312"/>
                <w:bCs/>
                <w:color w:val="000000"/>
                <w:spacing w:val="6"/>
                <w:szCs w:val="28"/>
              </w:rPr>
              <w:t>0-20</w:t>
            </w:r>
            <w:r>
              <w:rPr>
                <w:rFonts w:hint="eastAsia" w:ascii="仿宋_GB2312" w:hAnsi="仿宋_GB2312" w:eastAsia="仿宋_GB2312" w:cs="仿宋_GB2312"/>
                <w:bCs/>
                <w:color w:val="000000"/>
                <w:spacing w:val="6"/>
                <w:szCs w:val="28"/>
              </w:rPr>
              <w:t>分。</w:t>
            </w:r>
          </w:p>
          <w:p w14:paraId="007975D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系统性能：</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根据警情判定准确率、特征匹配速度、系统响应时延及复杂环境下的兼容性等指标进行评分，综合评定</w:t>
            </w:r>
            <w:r>
              <w:rPr>
                <w:rFonts w:ascii="仿宋_GB2312" w:hAnsi="仿宋_GB2312" w:eastAsia="仿宋_GB2312" w:cs="仿宋_GB2312"/>
                <w:bCs/>
                <w:color w:val="000000"/>
                <w:spacing w:val="6"/>
                <w:szCs w:val="28"/>
              </w:rPr>
              <w:t>0-15</w:t>
            </w:r>
            <w:r>
              <w:rPr>
                <w:rFonts w:hint="eastAsia" w:ascii="仿宋_GB2312" w:hAnsi="仿宋_GB2312" w:eastAsia="仿宋_GB2312" w:cs="仿宋_GB2312"/>
                <w:bCs/>
                <w:color w:val="000000"/>
                <w:spacing w:val="6"/>
                <w:szCs w:val="28"/>
              </w:rPr>
              <w:t>分。</w:t>
            </w:r>
          </w:p>
        </w:tc>
      </w:tr>
      <w:tr w14:paraId="582DE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5B3B3CF">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2B970B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无</w:t>
            </w:r>
          </w:p>
        </w:tc>
      </w:tr>
    </w:tbl>
    <w:p w14:paraId="2FDFEBC7">
      <w:pPr>
        <w:adjustRightInd/>
        <w:snapToGrid/>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br w:type="page"/>
      </w:r>
    </w:p>
    <w:p w14:paraId="3A20B2B4">
      <w:pPr>
        <w:tabs>
          <w:tab w:val="left" w:pos="8640"/>
        </w:tabs>
        <w:adjustRightInd w:val="0"/>
        <w:snapToGrid w:val="0"/>
        <w:spacing w:line="440" w:lineRule="exact"/>
        <w:rPr>
          <w:rFonts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4EE9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BAD98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highlight w:val="none"/>
                <w:lang w:val="en-US"/>
              </w:rPr>
              <w:t>保障</w:t>
            </w:r>
            <w:r>
              <w:rPr>
                <w:rFonts w:hint="eastAsia" w:ascii="楷体_GB2312" w:hAnsi="楷体_GB2312" w:eastAsia="楷体_GB2312" w:cs="楷体_GB2312"/>
                <w:color w:val="000000"/>
                <w:sz w:val="28"/>
                <w:szCs w:val="28"/>
                <w:highlight w:val="none"/>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C2E4F9">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专家指导团队</w:t>
            </w:r>
          </w:p>
          <w:p w14:paraId="0CE981E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顾问专家：陈老师，联系电话：13901346757</w:t>
            </w:r>
          </w:p>
          <w:p w14:paraId="61DAA1C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顾问专家：赵老师，联系电话：13488795182</w:t>
            </w:r>
          </w:p>
          <w:p w14:paraId="0A658BF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负责比赛期间技术指导保障。</w:t>
            </w:r>
          </w:p>
          <w:p w14:paraId="20591958">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赛事服务团队</w:t>
            </w:r>
          </w:p>
          <w:p w14:paraId="28B5713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联络专员：谷老师，联系电话：13810024622</w:t>
            </w:r>
          </w:p>
          <w:p w14:paraId="326734F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联络专员：</w:t>
            </w:r>
            <w:r>
              <w:rPr>
                <w:rFonts w:hint="eastAsia" w:ascii="仿宋_GB2312" w:hAnsi="仿宋_GB2312" w:eastAsia="仿宋_GB2312" w:cs="仿宋_GB2312"/>
                <w:bCs/>
                <w:color w:val="000000"/>
                <w:spacing w:val="6"/>
                <w:szCs w:val="28"/>
                <w:lang w:val="en-US" w:eastAsia="zh-CN"/>
              </w:rPr>
              <w:t>李</w:t>
            </w:r>
            <w:r>
              <w:rPr>
                <w:rFonts w:hint="eastAsia" w:ascii="仿宋_GB2312" w:hAnsi="仿宋_GB2312" w:eastAsia="仿宋_GB2312" w:cs="仿宋_GB2312"/>
                <w:bCs/>
                <w:color w:val="000000"/>
                <w:spacing w:val="6"/>
                <w:szCs w:val="28"/>
                <w:lang w:val="en-US"/>
              </w:rPr>
              <w:t>老师，联系电话：13810069439</w:t>
            </w:r>
          </w:p>
          <w:p w14:paraId="2360EA2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负责比赛期间组织服务及后期相关赛务协调联络。</w:t>
            </w:r>
          </w:p>
          <w:p w14:paraId="7D7727F7">
            <w:pPr>
              <w:numPr>
                <w:ilvl w:val="0"/>
                <w:numId w:val="2"/>
              </w:num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联系时间</w:t>
            </w:r>
          </w:p>
          <w:p w14:paraId="2B8955BA">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比赛期间工作日（9:00-17:00）</w:t>
            </w:r>
          </w:p>
        </w:tc>
      </w:tr>
      <w:tr w14:paraId="2AA21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1E33F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927503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0E82869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32D6D1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075FA4C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1.研究成果如具有在本单位实践应用的价值，则获奖团队成员在本单位实习生或应届生招聘时，同等条件下可优先录用。</w:t>
            </w:r>
          </w:p>
          <w:p w14:paraId="7EDC14D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2.“擂主”团队成员在同等条件下，可通过实习生“绿色通道”直接获得正式工作机会。</w:t>
            </w:r>
          </w:p>
        </w:tc>
      </w:tr>
    </w:tbl>
    <w:p w14:paraId="5DAD5025">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17C6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62BAC7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83689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题聚焦警务实战中从“信息展示与规则触发”向“认知理解与智能决策”转型过程中面临的关键技术瓶颈，针对警情信息高度非结构化、语义表达复杂、多源要素关联困难以及风险评估与目标发现能力不足等突出问题，探索面向公安核心业务的智能认知与决策支撑技术体系。通过提升系统对口语化、非规范表述和复杂语境的理解能力，融合多源警务数据，实现对警情、对象与场景的综合研判与辅助决策，突破传统系统依赖人工经验和静态规则的局限。本题对解决警务实战中“难理解、难评估、难联动”的核心技术问题具有重要意义，为构建具备认知能力、推理能力和实战适配能力的新型智能警务系统奠定技术基础。</w:t>
            </w:r>
          </w:p>
        </w:tc>
      </w:tr>
      <w:tr w14:paraId="60246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AE9C7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A2D7D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题预期成果可显著提升警务实战效率与决策质量，在接处警、布控防控、社会面治理和视频实战等典型场景中，为警务人员提供更加及时、准确和一致的辅助支撑，有助于降低处置风险、优化警力配置、提升整体响应效能。通过推动警务工作模式由被动响应向智能理解与主动防控转变，可增强公共安全治理的前瞻性和精准性，提升社会治理精细化水平。同时，相关技术与体系具备良好的可复制性和推广价值，可为智慧警务、智慧城市及相关数字治理领域提供通用能力支撑，促进公安信息化与人工智能技术的深度融合，产生显著的社会效益与长远的经济价值。</w:t>
            </w:r>
          </w:p>
        </w:tc>
      </w:tr>
    </w:tbl>
    <w:p w14:paraId="559354DA">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7608D48C">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9DB4FFC">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—0</w:t>
      </w:r>
      <w:r>
        <w:rPr>
          <w:rFonts w:hint="eastAsia" w:eastAsia="方正小标宋简体" w:cs="方正小标宋简体"/>
          <w:b w:val="0"/>
          <w:bCs/>
          <w:kern w:val="2"/>
          <w:sz w:val="44"/>
          <w:szCs w:val="32"/>
          <w:highlight w:val="none"/>
          <w:lang w:val="en-US" w:eastAsia="zh-CN"/>
        </w:rPr>
        <w:t>8</w:t>
      </w:r>
    </w:p>
    <w:p w14:paraId="3119D0B5">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7232D390">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6D23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27E9CC">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472A16DD">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i w:val="0"/>
                <w:iCs w:val="0"/>
                <w:color w:val="auto"/>
                <w:spacing w:val="6"/>
                <w:szCs w:val="28"/>
                <w:lang w:val="en-US" w:eastAsia="zh-CN"/>
              </w:rPr>
              <w:t>中国电子科技集团公司信息科学研究院</w:t>
            </w:r>
          </w:p>
        </w:tc>
      </w:tr>
      <w:tr w14:paraId="241D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803E761">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026DF50C">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i w:val="0"/>
                <w:iCs w:val="0"/>
                <w:color w:val="auto"/>
                <w:spacing w:val="6"/>
                <w:szCs w:val="28"/>
                <w:lang w:val="en-US"/>
              </w:rPr>
              <w:t>中央企业</w:t>
            </w:r>
          </w:p>
        </w:tc>
      </w:tr>
      <w:tr w14:paraId="2703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7E3F238">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769E5ACC">
            <w:pPr>
              <w:adjustRightInd w:val="0"/>
              <w:snapToGrid/>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北京市石景山区实兴大街金府路30号院4号楼</w:t>
            </w:r>
          </w:p>
        </w:tc>
      </w:tr>
      <w:tr w14:paraId="355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5DCC6A9">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05AE222A">
            <w:pPr>
              <w:keepNext w:val="0"/>
              <w:keepLines w:val="0"/>
              <w:pageBreakBefore w:val="0"/>
              <w:widowControl/>
              <w:kinsoku/>
              <w:wordWrap/>
              <w:overflowPunct/>
              <w:topLinePunct w:val="0"/>
              <w:autoSpaceDE/>
              <w:autoSpaceDN/>
              <w:bidi w:val="0"/>
              <w:adjustRightInd w:val="0"/>
              <w:snapToGrid w:val="0"/>
              <w:ind w:firstLine="504" w:firstLineChars="200"/>
              <w:jc w:val="both"/>
              <w:textAlignment w:val="auto"/>
              <w:rPr>
                <w:rFonts w:hint="eastAsia" w:ascii="仿宋_GB2312" w:hAnsi="仿宋_GB2312" w:eastAsia="仿宋_GB2312" w:cs="仿宋_GB2312"/>
                <w:bCs/>
                <w:i/>
                <w:iCs/>
                <w:color w:val="FF0000"/>
                <w:spacing w:val="6"/>
                <w:szCs w:val="28"/>
              </w:rPr>
            </w:pPr>
            <w:r>
              <w:rPr>
                <w:rFonts w:hint="eastAsia" w:ascii="仿宋_GB2312" w:hAnsi="仿宋_GB2312" w:eastAsia="仿宋_GB2312" w:cs="仿宋_GB2312"/>
                <w:bCs/>
                <w:i w:val="0"/>
                <w:iCs w:val="0"/>
                <w:color w:val="auto"/>
                <w:spacing w:val="6"/>
                <w:szCs w:val="28"/>
                <w:lang w:val="en-US" w:eastAsia="zh-CN"/>
              </w:rPr>
              <w:t>中国电科信息科学研究院（智能院）是中国电子科技集团公司智能科技发展的总体单位、智能基础和前沿技术研究的核心单位、智能科技成果转化桥梁的骨干单位，布局智能网络信息体系总体、安全可信智能基础平台、网络电磁空间智能技术、有人无人协同装备产品、微系统协同设计与基础前沿、大数据技术及应用等重要核心技术与业务方向，聚合国内外力量，开展原创技术联合攻关，推动集团公司智能科技整体跃升。</w:t>
            </w:r>
          </w:p>
        </w:tc>
      </w:tr>
      <w:tr w14:paraId="4103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E236CD0">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014319D">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付博研</w:t>
            </w:r>
          </w:p>
        </w:tc>
        <w:tc>
          <w:tcPr>
            <w:tcW w:w="1073" w:type="dxa"/>
            <w:vAlign w:val="center"/>
          </w:tcPr>
          <w:p w14:paraId="378C2161">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3E1ACF5">
            <w:pPr>
              <w:adjustRightInd w:val="0"/>
              <w:snapToGrid/>
              <w:jc w:val="center"/>
              <w:rPr>
                <w:rFonts w:hint="default" w:ascii="Times New Roman" w:hAnsi="Times New Roman" w:eastAsia="方正仿宋简体" w:cs="Times New Roman"/>
                <w:color w:val="auto"/>
                <w:lang w:val="en-US" w:eastAsia="zh-CN"/>
              </w:rPr>
            </w:pPr>
            <w:r>
              <w:rPr>
                <w:rFonts w:hint="eastAsia" w:ascii="Times New Roman" w:hAnsi="Times New Roman" w:eastAsia="方正仿宋简体" w:cs="Times New Roman"/>
                <w:color w:val="auto"/>
                <w:lang w:val="en-US" w:eastAsia="zh-CN"/>
              </w:rPr>
              <w:t>/</w:t>
            </w:r>
          </w:p>
        </w:tc>
      </w:tr>
      <w:tr w14:paraId="697A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633CD08">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0DDD5D60">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18513916961</w:t>
            </w:r>
          </w:p>
        </w:tc>
        <w:tc>
          <w:tcPr>
            <w:tcW w:w="1073" w:type="dxa"/>
            <w:vAlign w:val="center"/>
          </w:tcPr>
          <w:p w14:paraId="066423AD">
            <w:pPr>
              <w:adjustRightInd w:val="0"/>
              <w:snapToGrid/>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121CD3E8">
            <w:pPr>
              <w:adjustRightInd w:val="0"/>
              <w:snapToGrid/>
              <w:jc w:val="center"/>
              <w:rPr>
                <w:rFonts w:hint="default" w:ascii="Times New Roman" w:hAnsi="Times New Roman" w:eastAsia="方正仿宋简体" w:cs="Times New Roman"/>
                <w:color w:val="auto"/>
                <w:lang w:val="en-US" w:eastAsia="zh-CN"/>
              </w:rPr>
            </w:pPr>
            <w:r>
              <w:rPr>
                <w:rFonts w:hint="eastAsia" w:ascii="Times New Roman" w:hAnsi="Times New Roman" w:eastAsia="方正仿宋简体" w:cs="Times New Roman"/>
                <w:color w:val="auto"/>
                <w:lang w:val="en-US" w:eastAsia="zh-CN"/>
              </w:rPr>
              <w:t>fby1ybf</w:t>
            </w:r>
          </w:p>
        </w:tc>
      </w:tr>
    </w:tbl>
    <w:p w14:paraId="49C44169">
      <w:pPr>
        <w:tabs>
          <w:tab w:val="left" w:pos="8640"/>
        </w:tabs>
        <w:adjustRightInd w:val="0"/>
        <w:snapToGrid w:val="0"/>
        <w:spacing w:line="560" w:lineRule="exact"/>
        <w:rPr>
          <w:rFonts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3D5A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57E5B2">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D4EAE89">
            <w:pPr>
              <w:adjustRightInd w:val="0"/>
              <w:snapToGrid w:val="0"/>
              <w:ind w:left="0" w:leftChars="0" w:firstLine="0" w:firstLineChars="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面向应急通信的</w:t>
            </w:r>
            <w:r>
              <w:rPr>
                <w:rFonts w:hint="eastAsia" w:ascii="仿宋_GB2312" w:hAnsi="仿宋_GB2312" w:eastAsia="仿宋_GB2312" w:cs="仿宋_GB2312"/>
                <w:b w:val="0"/>
                <w:bCs/>
                <w:color w:val="000000"/>
                <w:spacing w:val="6"/>
                <w:szCs w:val="28"/>
                <w:lang w:eastAsia="zh-CN"/>
              </w:rPr>
              <w:t>具身智能无人机通信组网技术</w:t>
            </w:r>
          </w:p>
        </w:tc>
      </w:tr>
      <w:tr w14:paraId="75AAF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AD2D3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7BB03D">
            <w:pPr>
              <w:adjustRightInd w:val="0"/>
              <w:snapToGrid w:val="0"/>
              <w:ind w:left="0" w:leftChars="0" w:firstLine="0" w:firstLineChars="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人工智能、具身智能与机器人</w:t>
            </w:r>
          </w:p>
        </w:tc>
      </w:tr>
      <w:tr w14:paraId="66841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1B555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BF031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在暴雨洪涝、地震滑坡、深山救援等极端场景中，面临“断路、断电、断网”的“三断”困境，快速构建稳定可靠的应急通信网络，是保障救援指令畅通、挽救生命财产的关键和前提。无人机以其快速响应、灵活部署、韧性组网等优势，在构建应急通信网络中发挥了重要作用，工信部、应急管理部颁布的有关规范和标准中，都已将无人机作为应急通信的重要手段。与此同时，“具身智能”成为目前人工智能技术发展的重要演进方向，具备感知、认知、决策、行动能力于一体的具身智能无人机，将极大提升无人机的智能化、自主化程度和任务执行效率，是未来产业发展的重要方向，也是当前众多企业发展和角逐的热点。</w:t>
            </w:r>
          </w:p>
          <w:p w14:paraId="0D9FF7A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面向应急通信应用领域，当前具身智能无人机在功能设计、应用模式、快速组网方法、自主控制智能算法等方面还有待进一步创新和突破。本赛题要求参赛团队围绕场景、功能、组网、算法等问题开展设计，打造可行的产业化解决方案，推动产业发展和应用。</w:t>
            </w:r>
          </w:p>
        </w:tc>
      </w:tr>
      <w:tr w14:paraId="3D72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E5713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2C943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本赛题要求参赛团队面向应急通信组网应用需求，围绕具身智能无人机的应用场景、功能、组网方式、控制算法等内容开展设计，形成可行的产业化解决方案，提交完整书面技术报告，涵盖以下内容：</w:t>
            </w:r>
          </w:p>
          <w:p w14:paraId="130D1848">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（1）基于具身智能无人机的应急通信组网典型应用场景，以及通信业务需求及特点；</w:t>
            </w:r>
          </w:p>
          <w:p w14:paraId="4E6894C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（2）面向应急通信的具身智能无人机主要功能设计，以及无人机结构组成设计；</w:t>
            </w:r>
          </w:p>
          <w:p w14:paraId="45F8548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（3）面向应急通信的具身智能无人机通信组网方法设计，说明典型应用场景下的网络快速构建、网络适变方法，以及无人机应用模式等；</w:t>
            </w:r>
          </w:p>
          <w:p w14:paraId="2C1AAF27">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（4）特定典型应用场景下具身智能无人机的自主智能控制算法设计，说明算法方案以及性能仿真结果。</w:t>
            </w:r>
          </w:p>
          <w:p w14:paraId="6D2574F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参赛团队应严格按照组委会要求的时限向组委会提交作品报告，报告内容应完整规范，作品将依据设计方案的完整性、可行性和创新性等指标展开评判。</w:t>
            </w:r>
          </w:p>
        </w:tc>
      </w:tr>
      <w:tr w14:paraId="482F0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B7D75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3FF74B6B">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9E8E97">
            <w:pPr>
              <w:numPr>
                <w:ilvl w:val="0"/>
                <w:numId w:val="3"/>
              </w:num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作品完整性：40 分</w:t>
            </w:r>
          </w:p>
          <w:p w14:paraId="74D77D51">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独立</w:t>
            </w:r>
            <w:r>
              <w:rPr>
                <w:rFonts w:hint="eastAsia" w:ascii="仿宋_GB2312" w:hAnsi="仿宋_GB2312" w:eastAsia="仿宋_GB2312" w:cs="仿宋_GB2312"/>
                <w:b w:val="0"/>
                <w:bCs/>
                <w:color w:val="000000"/>
                <w:spacing w:val="6"/>
                <w:szCs w:val="28"/>
                <w:u w:val="none"/>
                <w:lang w:val="en-US" w:eastAsia="zh-CN"/>
              </w:rPr>
              <w:t>设计</w:t>
            </w:r>
            <w:r>
              <w:rPr>
                <w:rFonts w:hint="eastAsia" w:ascii="仿宋_GB2312" w:hAnsi="仿宋_GB2312" w:eastAsia="仿宋_GB2312" w:cs="仿宋_GB2312"/>
                <w:b w:val="0"/>
                <w:bCs/>
                <w:color w:val="000000"/>
                <w:spacing w:val="6"/>
                <w:szCs w:val="28"/>
                <w:u w:val="none"/>
              </w:rPr>
              <w:t>并完成</w:t>
            </w:r>
            <w:r>
              <w:rPr>
                <w:rFonts w:hint="eastAsia" w:ascii="仿宋_GB2312" w:hAnsi="仿宋_GB2312" w:eastAsia="仿宋_GB2312" w:cs="仿宋_GB2312"/>
                <w:b w:val="0"/>
                <w:bCs/>
                <w:color w:val="000000"/>
                <w:spacing w:val="6"/>
                <w:szCs w:val="28"/>
                <w:lang w:val="en-US" w:eastAsia="zh-CN"/>
              </w:rPr>
              <w:t>具身智能无人机通信组网设计技术方案，涵盖场景、功能、组网、算法等设计内容，根据各部分内容的详细及完整程度</w:t>
            </w:r>
            <w:r>
              <w:rPr>
                <w:rFonts w:hint="eastAsia" w:ascii="仿宋_GB2312" w:hAnsi="仿宋_GB2312" w:eastAsia="仿宋_GB2312" w:cs="仿宋_GB2312"/>
                <w:b w:val="0"/>
                <w:bCs/>
                <w:color w:val="000000"/>
                <w:spacing w:val="6"/>
                <w:szCs w:val="28"/>
                <w:u w:val="none"/>
              </w:rPr>
              <w:t>给予评定</w:t>
            </w:r>
            <w:r>
              <w:rPr>
                <w:rFonts w:hint="eastAsia" w:ascii="仿宋_GB2312" w:hAnsi="仿宋_GB2312" w:eastAsia="仿宋_GB2312" w:cs="仿宋_GB2312"/>
                <w:b w:val="0"/>
                <w:bCs/>
                <w:color w:val="000000"/>
                <w:spacing w:val="6"/>
                <w:szCs w:val="28"/>
                <w:u w:val="none"/>
                <w:lang w:eastAsia="zh-CN"/>
              </w:rPr>
              <w:t>，</w:t>
            </w:r>
            <w:r>
              <w:rPr>
                <w:rFonts w:hint="eastAsia" w:ascii="仿宋_GB2312" w:hAnsi="仿宋_GB2312" w:eastAsia="仿宋_GB2312" w:cs="仿宋_GB2312"/>
                <w:b w:val="0"/>
                <w:bCs/>
                <w:color w:val="000000"/>
                <w:spacing w:val="6"/>
                <w:szCs w:val="28"/>
                <w:u w:val="none"/>
              </w:rPr>
              <w:t>综合评定0-</w:t>
            </w:r>
            <w:r>
              <w:rPr>
                <w:rFonts w:hint="eastAsia" w:ascii="仿宋_GB2312" w:hAnsi="仿宋_GB2312" w:eastAsia="仿宋_GB2312" w:cs="仿宋_GB2312"/>
                <w:b w:val="0"/>
                <w:bCs/>
                <w:color w:val="000000"/>
                <w:spacing w:val="6"/>
                <w:szCs w:val="28"/>
                <w:u w:val="none"/>
                <w:lang w:val="en-US" w:eastAsia="zh-CN"/>
              </w:rPr>
              <w:t>40</w:t>
            </w:r>
            <w:r>
              <w:rPr>
                <w:rFonts w:hint="eastAsia" w:ascii="仿宋_GB2312" w:hAnsi="仿宋_GB2312" w:eastAsia="仿宋_GB2312" w:cs="仿宋_GB2312"/>
                <w:b w:val="0"/>
                <w:bCs/>
                <w:color w:val="000000"/>
                <w:spacing w:val="6"/>
                <w:szCs w:val="28"/>
                <w:u w:val="none"/>
              </w:rPr>
              <w:t>分。</w:t>
            </w:r>
          </w:p>
          <w:p w14:paraId="526D39D6">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 xml:space="preserve">2. </w:t>
            </w:r>
            <w:r>
              <w:rPr>
                <w:rFonts w:hint="eastAsia" w:ascii="仿宋_GB2312" w:hAnsi="仿宋_GB2312" w:eastAsia="仿宋_GB2312" w:cs="仿宋_GB2312"/>
                <w:b w:val="0"/>
                <w:bCs/>
                <w:color w:val="000000"/>
                <w:spacing w:val="6"/>
                <w:szCs w:val="28"/>
                <w:u w:val="none"/>
                <w:lang w:val="en-US" w:eastAsia="zh-CN"/>
              </w:rPr>
              <w:t>应用可行性</w:t>
            </w:r>
            <w:r>
              <w:rPr>
                <w:rFonts w:hint="eastAsia" w:ascii="仿宋_GB2312" w:hAnsi="仿宋_GB2312" w:eastAsia="仿宋_GB2312" w:cs="仿宋_GB2312"/>
                <w:b w:val="0"/>
                <w:bCs/>
                <w:color w:val="000000"/>
                <w:spacing w:val="6"/>
                <w:szCs w:val="28"/>
                <w:u w:val="none"/>
              </w:rPr>
              <w:t>：</w:t>
            </w:r>
            <w:r>
              <w:rPr>
                <w:rFonts w:hint="eastAsia" w:ascii="仿宋_GB2312" w:hAnsi="仿宋_GB2312" w:eastAsia="仿宋_GB2312" w:cs="仿宋_GB2312"/>
                <w:b w:val="0"/>
                <w:bCs/>
                <w:color w:val="000000"/>
                <w:spacing w:val="6"/>
                <w:szCs w:val="28"/>
                <w:u w:val="none"/>
                <w:lang w:val="en-US" w:eastAsia="zh-CN"/>
              </w:rPr>
              <w:t>25</w:t>
            </w:r>
            <w:r>
              <w:rPr>
                <w:rFonts w:hint="eastAsia" w:ascii="仿宋_GB2312" w:hAnsi="仿宋_GB2312" w:eastAsia="仿宋_GB2312" w:cs="仿宋_GB2312"/>
                <w:b w:val="0"/>
                <w:bCs/>
                <w:color w:val="000000"/>
                <w:spacing w:val="6"/>
                <w:szCs w:val="28"/>
                <w:u w:val="none"/>
              </w:rPr>
              <w:t xml:space="preserve"> 分</w:t>
            </w:r>
          </w:p>
          <w:p w14:paraId="2D9C339E">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根据作品</w:t>
            </w:r>
            <w:r>
              <w:rPr>
                <w:rFonts w:hint="eastAsia" w:ascii="仿宋_GB2312" w:hAnsi="仿宋_GB2312" w:eastAsia="仿宋_GB2312" w:cs="仿宋_GB2312"/>
                <w:b w:val="0"/>
                <w:bCs/>
                <w:color w:val="000000"/>
                <w:spacing w:val="6"/>
                <w:szCs w:val="28"/>
                <w:u w:val="none"/>
                <w:lang w:val="en-US" w:eastAsia="zh-CN"/>
              </w:rPr>
              <w:t>技术方案的功能可实现性、场景适用性、组网灵活性、适用广泛性及技术成熟度等</w:t>
            </w:r>
            <w:r>
              <w:rPr>
                <w:rFonts w:hint="eastAsia" w:ascii="仿宋_GB2312" w:hAnsi="仿宋_GB2312" w:eastAsia="仿宋_GB2312" w:cs="仿宋_GB2312"/>
                <w:b w:val="0"/>
                <w:bCs/>
                <w:color w:val="000000"/>
                <w:spacing w:val="6"/>
                <w:szCs w:val="28"/>
                <w:u w:val="none"/>
              </w:rPr>
              <w:t>给予评定，综合评定0-</w:t>
            </w:r>
            <w:r>
              <w:rPr>
                <w:rFonts w:hint="eastAsia" w:ascii="仿宋_GB2312" w:hAnsi="仿宋_GB2312" w:eastAsia="仿宋_GB2312" w:cs="仿宋_GB2312"/>
                <w:b w:val="0"/>
                <w:bCs/>
                <w:color w:val="000000"/>
                <w:spacing w:val="6"/>
                <w:szCs w:val="28"/>
                <w:u w:val="none"/>
                <w:lang w:val="en-US" w:eastAsia="zh-CN"/>
              </w:rPr>
              <w:t>25</w:t>
            </w:r>
            <w:r>
              <w:rPr>
                <w:rFonts w:hint="eastAsia" w:ascii="仿宋_GB2312" w:hAnsi="仿宋_GB2312" w:eastAsia="仿宋_GB2312" w:cs="仿宋_GB2312"/>
                <w:b w:val="0"/>
                <w:bCs/>
                <w:color w:val="000000"/>
                <w:spacing w:val="6"/>
                <w:szCs w:val="28"/>
                <w:u w:val="none"/>
              </w:rPr>
              <w:t>分。</w:t>
            </w:r>
          </w:p>
          <w:p w14:paraId="08A3BA9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3. 技术创新性：20 分</w:t>
            </w:r>
          </w:p>
          <w:p w14:paraId="4D8D576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val="en-US" w:eastAsia="zh-CN"/>
              </w:rPr>
              <w:t>根据</w:t>
            </w:r>
            <w:r>
              <w:rPr>
                <w:rFonts w:hint="eastAsia" w:ascii="仿宋_GB2312" w:hAnsi="仿宋_GB2312" w:eastAsia="仿宋_GB2312" w:cs="仿宋_GB2312"/>
                <w:b w:val="0"/>
                <w:bCs/>
                <w:color w:val="000000"/>
                <w:spacing w:val="6"/>
                <w:szCs w:val="28"/>
                <w:u w:val="none"/>
              </w:rPr>
              <w:t>作品在</w:t>
            </w:r>
            <w:r>
              <w:rPr>
                <w:rFonts w:hint="eastAsia" w:ascii="仿宋_GB2312" w:hAnsi="仿宋_GB2312" w:eastAsia="仿宋_GB2312" w:cs="仿宋_GB2312"/>
                <w:b w:val="0"/>
                <w:bCs/>
                <w:color w:val="000000"/>
                <w:spacing w:val="6"/>
                <w:szCs w:val="28"/>
                <w:u w:val="none"/>
                <w:lang w:val="en-US" w:eastAsia="zh-CN"/>
              </w:rPr>
              <w:t>组网模式、控制算法等方面技术的原创性、创新性</w:t>
            </w:r>
            <w:r>
              <w:rPr>
                <w:rFonts w:hint="eastAsia" w:ascii="仿宋_GB2312" w:hAnsi="仿宋_GB2312" w:eastAsia="仿宋_GB2312" w:cs="仿宋_GB2312"/>
                <w:b w:val="0"/>
                <w:bCs/>
                <w:color w:val="000000"/>
                <w:spacing w:val="6"/>
                <w:szCs w:val="28"/>
                <w:u w:val="none"/>
              </w:rPr>
              <w:t>给予评定，综合评定0-20分。</w:t>
            </w:r>
          </w:p>
          <w:p w14:paraId="512F92B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4. 系统性能：1</w:t>
            </w:r>
            <w:r>
              <w:rPr>
                <w:rFonts w:hint="eastAsia" w:ascii="仿宋_GB2312" w:hAnsi="仿宋_GB2312" w:eastAsia="仿宋_GB2312" w:cs="仿宋_GB2312"/>
                <w:b w:val="0"/>
                <w:bCs/>
                <w:color w:val="000000"/>
                <w:spacing w:val="6"/>
                <w:szCs w:val="28"/>
                <w:u w:val="none"/>
                <w:lang w:val="en-US" w:eastAsia="zh-CN"/>
              </w:rPr>
              <w:t>5</w:t>
            </w:r>
            <w:r>
              <w:rPr>
                <w:rFonts w:hint="eastAsia" w:ascii="仿宋_GB2312" w:hAnsi="仿宋_GB2312" w:eastAsia="仿宋_GB2312" w:cs="仿宋_GB2312"/>
                <w:b w:val="0"/>
                <w:bCs/>
                <w:color w:val="000000"/>
                <w:spacing w:val="6"/>
                <w:szCs w:val="28"/>
                <w:u w:val="none"/>
              </w:rPr>
              <w:t xml:space="preserve"> 分</w:t>
            </w:r>
          </w:p>
          <w:p w14:paraId="0F0973D2">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根据</w:t>
            </w:r>
            <w:r>
              <w:rPr>
                <w:rFonts w:hint="eastAsia" w:ascii="仿宋_GB2312" w:hAnsi="仿宋_GB2312" w:eastAsia="仿宋_GB2312" w:cs="仿宋_GB2312"/>
                <w:b w:val="0"/>
                <w:bCs/>
                <w:color w:val="000000"/>
                <w:spacing w:val="6"/>
                <w:szCs w:val="28"/>
                <w:u w:val="none"/>
                <w:lang w:val="en-US" w:eastAsia="zh-CN"/>
              </w:rPr>
              <w:t>算法仿真评估的规范性、仿真得到的通信组网性能效果等</w:t>
            </w:r>
            <w:r>
              <w:rPr>
                <w:rFonts w:hint="eastAsia" w:ascii="仿宋_GB2312" w:hAnsi="仿宋_GB2312" w:eastAsia="仿宋_GB2312" w:cs="仿宋_GB2312"/>
                <w:b w:val="0"/>
                <w:bCs/>
                <w:color w:val="000000"/>
                <w:spacing w:val="6"/>
                <w:szCs w:val="28"/>
                <w:u w:val="none"/>
              </w:rPr>
              <w:t>给予评定，综合评定0-1</w:t>
            </w:r>
            <w:r>
              <w:rPr>
                <w:rFonts w:hint="eastAsia" w:ascii="仿宋_GB2312" w:hAnsi="仿宋_GB2312" w:eastAsia="仿宋_GB2312" w:cs="仿宋_GB2312"/>
                <w:b w:val="0"/>
                <w:bCs/>
                <w:color w:val="000000"/>
                <w:spacing w:val="6"/>
                <w:szCs w:val="28"/>
                <w:u w:val="none"/>
                <w:lang w:val="en-US" w:eastAsia="zh-CN"/>
              </w:rPr>
              <w:t>5</w:t>
            </w:r>
            <w:r>
              <w:rPr>
                <w:rFonts w:hint="eastAsia" w:ascii="仿宋_GB2312" w:hAnsi="仿宋_GB2312" w:eastAsia="仿宋_GB2312" w:cs="仿宋_GB2312"/>
                <w:b w:val="0"/>
                <w:bCs/>
                <w:color w:val="000000"/>
                <w:spacing w:val="6"/>
                <w:szCs w:val="28"/>
                <w:u w:val="none"/>
              </w:rPr>
              <w:t>分。</w:t>
            </w:r>
          </w:p>
        </w:tc>
      </w:tr>
      <w:tr w14:paraId="07ED38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B808CB">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1731A8C">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val="en-US" w:eastAsia="zh-CN"/>
              </w:rPr>
              <w:t>无。</w:t>
            </w:r>
          </w:p>
        </w:tc>
      </w:tr>
    </w:tbl>
    <w:p w14:paraId="2253DC4F">
      <w:pPr>
        <w:adjustRightInd/>
        <w:snapToGrid/>
        <w:rPr>
          <w:rFonts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81FD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92E9D5">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6E110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单位在参赛团队完成相关审核等程序后，可提供参观企业的机会。本单位将为此次比赛组建专业指导团队，指导团队将由出题单位专家组成，配备专门指导人员，为参赛团队项目提供指导和咨询，参赛团队可以在参赛期间的工作时段通过电话进行咨询。协助参赛团队发掘产研转化的潜力与机会，推动成果转化应用以及团队创新创业。</w:t>
            </w:r>
          </w:p>
        </w:tc>
      </w:tr>
      <w:tr w14:paraId="73616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612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852EC7F">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ECD8A1">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1E89B1EB">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原则上设“擂主”团队1个，根据实际情况评出相应的特等奖、一等奖、二等奖、三等奖项目若干。在获得特等奖的团队中选择一个作为“擂主”团队，进行后期的创业实践或科研攻关。</w:t>
            </w:r>
          </w:p>
          <w:p w14:paraId="0314B07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二、激励措施</w:t>
            </w:r>
          </w:p>
          <w:p w14:paraId="250DACCB">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1.本榜题将结合实际获奖情况给予适度奖金奖励；</w:t>
            </w:r>
          </w:p>
          <w:p w14:paraId="756510C2">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2.“擂主”团队可以获得相关领域的科研及实践指导，持续完善技术创新、学术成果与知识产权成果；</w:t>
            </w:r>
          </w:p>
          <w:p w14:paraId="78820EE9">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3.为获奖团队提供实习实践优先机会，应届毕业生参加本单位招聘时，符合应聘条件者，直通进入面试环节，同等条件下可优先录用；</w:t>
            </w:r>
          </w:p>
          <w:p w14:paraId="44C6833D">
            <w:pPr>
              <w:numPr>
                <w:ilvl w:val="0"/>
                <w:numId w:val="0"/>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4.为获奖团队颁发奖杯和证书，在宣传推广、培训指导、交流展示、人才招聘、创投对接等方面给予优先扶持。</w:t>
            </w:r>
          </w:p>
        </w:tc>
      </w:tr>
    </w:tbl>
    <w:p w14:paraId="265A98F4">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659F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90AD8C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18C5C1">
            <w:pPr>
              <w:overflowPunct w:val="0"/>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u w:val="none"/>
                <w:lang w:val="en-US" w:eastAsia="zh-CN"/>
              </w:rPr>
              <w:t>具身智能无人机通信组网技术融合</w:t>
            </w:r>
            <w:r>
              <w:rPr>
                <w:rFonts w:hint="eastAsia" w:ascii="仿宋_GB2312" w:hAnsi="仿宋_GB2312" w:eastAsia="仿宋_GB2312" w:cs="仿宋_GB2312"/>
                <w:b w:val="0"/>
                <w:bCs/>
                <w:color w:val="000000"/>
                <w:spacing w:val="6"/>
                <w:szCs w:val="28"/>
                <w:u w:val="none"/>
              </w:rPr>
              <w:t>人工智能、通信网络、</w:t>
            </w:r>
            <w:r>
              <w:rPr>
                <w:rFonts w:hint="eastAsia" w:ascii="仿宋_GB2312" w:hAnsi="仿宋_GB2312" w:eastAsia="仿宋_GB2312" w:cs="仿宋_GB2312"/>
                <w:b w:val="0"/>
                <w:bCs/>
                <w:color w:val="000000"/>
                <w:spacing w:val="6"/>
                <w:szCs w:val="28"/>
                <w:u w:val="none"/>
                <w:lang w:val="en-US" w:eastAsia="zh-CN"/>
              </w:rPr>
              <w:t>无人机</w:t>
            </w:r>
            <w:r>
              <w:rPr>
                <w:rFonts w:hint="eastAsia" w:ascii="仿宋_GB2312" w:hAnsi="仿宋_GB2312" w:eastAsia="仿宋_GB2312" w:cs="仿宋_GB2312"/>
                <w:b w:val="0"/>
                <w:bCs/>
                <w:color w:val="000000"/>
                <w:spacing w:val="6"/>
                <w:szCs w:val="28"/>
                <w:u w:val="none"/>
              </w:rPr>
              <w:t>三</w:t>
            </w:r>
            <w:r>
              <w:rPr>
                <w:rFonts w:hint="eastAsia" w:ascii="仿宋_GB2312" w:hAnsi="仿宋_GB2312" w:eastAsia="仿宋_GB2312" w:cs="仿宋_GB2312"/>
                <w:b w:val="0"/>
                <w:bCs/>
                <w:color w:val="000000"/>
                <w:spacing w:val="6"/>
                <w:szCs w:val="28"/>
                <w:u w:val="none"/>
                <w:lang w:val="en-US" w:eastAsia="zh-CN"/>
              </w:rPr>
              <w:t>大核心领域，通过该技术的发展有助于推动实现上述核心领域的交叉集成创新，构建“感知-决策-通信-行动”于一体的智能应急新范式，解决应急通信网络智能化、自主化的重大问题与需求。目前具身智能是人工智能领域的重要演进方向，</w:t>
            </w:r>
            <w:r>
              <w:rPr>
                <w:rFonts w:hint="eastAsia" w:ascii="仿宋_GB2312" w:hAnsi="仿宋_GB2312" w:eastAsia="仿宋_GB2312" w:cs="仿宋_GB2312"/>
                <w:b w:val="0"/>
                <w:bCs/>
                <w:color w:val="000000"/>
                <w:spacing w:val="6"/>
                <w:szCs w:val="28"/>
                <w:u w:val="none"/>
              </w:rPr>
              <w:t>被视为新一轮科技革命与产业变革的核心引擎，</w:t>
            </w:r>
            <w:r>
              <w:rPr>
                <w:rFonts w:hint="eastAsia" w:ascii="仿宋_GB2312" w:hAnsi="仿宋_GB2312" w:eastAsia="仿宋_GB2312" w:cs="仿宋_GB2312"/>
                <w:b w:val="0"/>
                <w:bCs/>
                <w:color w:val="000000"/>
                <w:spacing w:val="6"/>
                <w:szCs w:val="28"/>
                <w:u w:val="none"/>
                <w:lang w:val="en-US" w:eastAsia="zh-CN"/>
              </w:rPr>
              <w:t>通过开展在应急通信复杂极端场景下具身智能技术的探索和应用实践，有助于推动解决算法核心难题、提升我国在这一</w:t>
            </w:r>
            <w:r>
              <w:rPr>
                <w:rFonts w:hint="eastAsia" w:ascii="仿宋_GB2312" w:hAnsi="仿宋_GB2312" w:eastAsia="仿宋_GB2312" w:cs="仿宋_GB2312"/>
                <w:b w:val="0"/>
                <w:bCs/>
                <w:color w:val="000000"/>
                <w:spacing w:val="6"/>
                <w:szCs w:val="28"/>
                <w:u w:val="none"/>
              </w:rPr>
              <w:t>关键前沿</w:t>
            </w:r>
            <w:r>
              <w:rPr>
                <w:rFonts w:hint="eastAsia" w:ascii="仿宋_GB2312" w:hAnsi="仿宋_GB2312" w:eastAsia="仿宋_GB2312" w:cs="仿宋_GB2312"/>
                <w:b w:val="0"/>
                <w:bCs/>
                <w:color w:val="000000"/>
                <w:spacing w:val="6"/>
                <w:szCs w:val="28"/>
                <w:u w:val="none"/>
                <w:lang w:val="en-US" w:eastAsia="zh-CN"/>
              </w:rPr>
              <w:t>技术领域的竞争力。通过攻克具身智能与自主通信组网的共性技术瓶颈、推动无人机从“飞行平台”到“智能节点”演进，以及集群协同技术发展，有助于打造平战结合、韧性可靠的下一代应急通信体系基础，进一步加强我国在无人机及通信技术领域的优势与竞争力。</w:t>
            </w:r>
          </w:p>
        </w:tc>
      </w:tr>
      <w:tr w14:paraId="655E9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6360A">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789823">
            <w:pPr>
              <w:overflowPunct w:val="0"/>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目前应急通信网络已成为国家应急管理和安全体系的重要组成部分，</w:t>
            </w:r>
            <w:r>
              <w:rPr>
                <w:rFonts w:hint="eastAsia" w:ascii="仿宋_GB2312" w:hAnsi="仿宋_GB2312" w:eastAsia="仿宋_GB2312" w:cs="仿宋_GB2312"/>
                <w:b w:val="0"/>
                <w:bCs/>
                <w:color w:val="000000"/>
                <w:spacing w:val="6"/>
                <w:szCs w:val="28"/>
                <w:u w:val="none"/>
                <w:lang w:val="en-US" w:eastAsia="zh-CN"/>
              </w:rPr>
              <w:t>工信部、应急管理部等部门也已出台一系列指导性文件，旨在推动应急通信网络的技术创新和应用、提升智能化水平和可靠性。基于具身智能无人机打造智能化、自主化、调度灵活、适应力强的应急通信网络，可大幅提升灾情响应速度与救援效率、保障群众生命安全、显著降低灾害总体经济损失，赋能应急管理新质生产力发展、提升国家应急管理体系和能力现代化水平。同时，应急通信具身智能无人机的落地与应用，有助于带动具身智能、无人机及通信等重要行业的产业链融合升级，打造高端融合生态、创造新的高附加值产业链，取得显著经济与社会效益。</w:t>
            </w:r>
          </w:p>
        </w:tc>
      </w:tr>
    </w:tbl>
    <w:p w14:paraId="4D42117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楷体_GB2312" w:hAnsi="楷体_GB2312" w:eastAsia="楷体_GB2312" w:cs="楷体_GB2312"/>
          <w:color w:val="auto"/>
          <w:lang w:val="en-US" w:eastAsia="zh-CN"/>
        </w:rPr>
      </w:pPr>
    </w:p>
    <w:p w14:paraId="1FB07318">
      <w:pPr>
        <w:rPr>
          <w:rFonts w:hint="eastAsia" w:ascii="Times New Roman" w:hAnsi="Times New Roman" w:eastAsia="方正小标宋简体" w:cs="方正小标宋简体"/>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br w:type="page"/>
      </w:r>
    </w:p>
    <w:p w14:paraId="2B83683D">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970E6AF">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09</w:t>
      </w:r>
    </w:p>
    <w:p w14:paraId="3C3510B3">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719EB5A">
      <w:pPr>
        <w:tabs>
          <w:tab w:val="left" w:pos="8640"/>
        </w:tabs>
        <w:adjustRightInd w:val="0"/>
        <w:snapToGrid w:val="0"/>
        <w:spacing w:line="440" w:lineRule="exact"/>
        <w:rPr>
          <w:rFonts w:hint="eastAsia" w:ascii="方正黑体简体" w:hAnsi="Times New Roman" w:eastAsia="方正黑体简体" w:cs="Times New Roman"/>
          <w:bCs/>
          <w:color w:val="auto"/>
          <w:spacing w:val="6"/>
          <w:sz w:val="32"/>
          <w:szCs w:val="32"/>
        </w:rPr>
      </w:pPr>
      <w:r>
        <w:rPr>
          <w:rFonts w:hint="eastAsia" w:ascii="方正黑体简体" w:hAnsi="Times New Roman" w:eastAsia="方正黑体简体" w:cs="Times New Roman"/>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1A1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2A5C6201">
            <w:pPr>
              <w:ind w:firstLine="0" w:firstLineChars="0"/>
              <w:jc w:val="center"/>
              <w:rPr>
                <w:rFonts w:eastAsia="楷体_GB2312"/>
                <w:sz w:val="28"/>
                <w:szCs w:val="28"/>
                <w:lang w:val="en-US"/>
              </w:rPr>
            </w:pPr>
            <w:r>
              <w:rPr>
                <w:rFonts w:hint="eastAsia" w:eastAsia="楷体_GB2312"/>
                <w:sz w:val="28"/>
                <w:szCs w:val="28"/>
                <w:lang w:val="en-US"/>
              </w:rPr>
              <w:t>单位名称</w:t>
            </w:r>
          </w:p>
        </w:tc>
        <w:tc>
          <w:tcPr>
            <w:tcW w:w="6932" w:type="dxa"/>
            <w:gridSpan w:val="3"/>
            <w:vAlign w:val="center"/>
          </w:tcPr>
          <w:p w14:paraId="668C7789">
            <w:pPr>
              <w:ind w:firstLine="0" w:firstLineChars="0"/>
              <w:jc w:val="center"/>
              <w:rPr>
                <w:rFonts w:eastAsia="仿宋_GB2312"/>
                <w:bCs/>
                <w:spacing w:val="6"/>
                <w:szCs w:val="28"/>
                <w:lang w:val="en-US"/>
              </w:rPr>
            </w:pPr>
            <w:bookmarkStart w:id="2" w:name="OLE_LINK3"/>
            <w:r>
              <w:rPr>
                <w:rFonts w:eastAsia="仿宋_GB2312"/>
                <w:bCs/>
                <w:spacing w:val="6"/>
                <w:szCs w:val="28"/>
                <w:lang w:val="en-US"/>
              </w:rPr>
              <w:t>中国电子科技集团公司信息科学研究院</w:t>
            </w:r>
            <w:bookmarkEnd w:id="2"/>
          </w:p>
        </w:tc>
      </w:tr>
      <w:tr w14:paraId="32C4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8812C2C">
            <w:pPr>
              <w:ind w:firstLine="0" w:firstLineChars="0"/>
              <w:jc w:val="center"/>
              <w:rPr>
                <w:rFonts w:eastAsia="楷体_GB2312"/>
                <w:sz w:val="28"/>
                <w:szCs w:val="28"/>
                <w:lang w:val="en-US"/>
              </w:rPr>
            </w:pPr>
            <w:r>
              <w:rPr>
                <w:rFonts w:hint="eastAsia" w:eastAsia="楷体_GB2312"/>
                <w:sz w:val="28"/>
                <w:szCs w:val="28"/>
                <w:lang w:val="en-US"/>
              </w:rPr>
              <w:t>单位类型</w:t>
            </w:r>
          </w:p>
        </w:tc>
        <w:tc>
          <w:tcPr>
            <w:tcW w:w="6932" w:type="dxa"/>
            <w:gridSpan w:val="3"/>
            <w:vAlign w:val="center"/>
          </w:tcPr>
          <w:p w14:paraId="5745673B">
            <w:pPr>
              <w:ind w:firstLine="0" w:firstLineChars="0"/>
              <w:jc w:val="center"/>
              <w:rPr>
                <w:rFonts w:hint="eastAsia" w:ascii="仿宋_GB2312" w:hAnsi="仿宋_GB2312" w:eastAsia="仿宋_GB2312" w:cs="仿宋_GB2312"/>
                <w:lang w:val="en-US"/>
              </w:rPr>
            </w:pPr>
            <w:r>
              <w:rPr>
                <w:rFonts w:eastAsia="仿宋_GB2312"/>
                <w:lang w:val="en-US"/>
              </w:rPr>
              <w:t>中央企业</w:t>
            </w:r>
          </w:p>
        </w:tc>
      </w:tr>
      <w:tr w14:paraId="49AE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5994D827">
            <w:pPr>
              <w:ind w:firstLine="0" w:firstLineChars="0"/>
              <w:jc w:val="center"/>
              <w:rPr>
                <w:rFonts w:eastAsia="楷体_GB2312"/>
                <w:sz w:val="28"/>
                <w:szCs w:val="28"/>
                <w:lang w:val="en-US"/>
              </w:rPr>
            </w:pPr>
            <w:r>
              <w:rPr>
                <w:rFonts w:hint="eastAsia" w:eastAsia="楷体_GB2312"/>
                <w:sz w:val="28"/>
                <w:szCs w:val="28"/>
                <w:lang w:val="en-US"/>
              </w:rPr>
              <w:t>地址</w:t>
            </w:r>
          </w:p>
        </w:tc>
        <w:tc>
          <w:tcPr>
            <w:tcW w:w="6932" w:type="dxa"/>
            <w:gridSpan w:val="3"/>
            <w:vAlign w:val="center"/>
          </w:tcPr>
          <w:p w14:paraId="14493446">
            <w:pPr>
              <w:ind w:firstLine="0" w:firstLineChars="0"/>
              <w:jc w:val="center"/>
              <w:rPr>
                <w:rFonts w:hint="eastAsia" w:ascii="仿宋_GB2312" w:hAnsi="仿宋_GB2312" w:eastAsia="仿宋_GB2312" w:cs="仿宋_GB2312"/>
              </w:rPr>
            </w:pPr>
            <w:r>
              <w:rPr>
                <w:rFonts w:eastAsia="仿宋_GB2312"/>
              </w:rPr>
              <w:t>北京市</w:t>
            </w:r>
            <w:r>
              <w:rPr>
                <w:rFonts w:eastAsia="仿宋_GB2312"/>
                <w:bCs/>
                <w:spacing w:val="6"/>
                <w:szCs w:val="28"/>
                <w:lang w:val="en-US"/>
              </w:rPr>
              <w:t>石景山</w:t>
            </w:r>
            <w:r>
              <w:rPr>
                <w:rFonts w:eastAsia="仿宋_GB2312"/>
              </w:rPr>
              <w:t>区实兴大街金府路30号院4号楼</w:t>
            </w:r>
          </w:p>
        </w:tc>
      </w:tr>
      <w:tr w14:paraId="0DE91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2" w:hRule="atLeast"/>
          <w:jc w:val="center"/>
        </w:trPr>
        <w:tc>
          <w:tcPr>
            <w:tcW w:w="1668" w:type="dxa"/>
            <w:vAlign w:val="center"/>
          </w:tcPr>
          <w:p w14:paraId="30CD20FF">
            <w:pPr>
              <w:ind w:firstLine="0" w:firstLineChars="0"/>
              <w:jc w:val="center"/>
              <w:rPr>
                <w:rFonts w:eastAsia="楷体_GB2312"/>
                <w:sz w:val="28"/>
                <w:szCs w:val="28"/>
                <w:lang w:val="en-US"/>
              </w:rPr>
            </w:pPr>
            <w:r>
              <w:rPr>
                <w:rFonts w:hint="eastAsia" w:eastAsia="楷体_GB2312"/>
                <w:sz w:val="28"/>
                <w:szCs w:val="28"/>
                <w:lang w:val="en-US"/>
              </w:rPr>
              <w:t>单位简介</w:t>
            </w:r>
          </w:p>
        </w:tc>
        <w:tc>
          <w:tcPr>
            <w:tcW w:w="6932" w:type="dxa"/>
            <w:gridSpan w:val="3"/>
            <w:vAlign w:val="center"/>
          </w:tcPr>
          <w:p w14:paraId="6FF8D466">
            <w:pPr>
              <w:ind w:firstLine="0" w:firstLineChars="0"/>
              <w:rPr>
                <w:rFonts w:eastAsia="仿宋_GB2312"/>
                <w:bCs/>
                <w:spacing w:val="6"/>
                <w:szCs w:val="28"/>
                <w:lang w:val="en-US"/>
              </w:rPr>
            </w:pPr>
            <w:r>
              <w:rPr>
                <w:rFonts w:eastAsia="仿宋_GB2312"/>
                <w:bCs/>
                <w:spacing w:val="6"/>
                <w:szCs w:val="28"/>
                <w:lang w:val="en-US"/>
              </w:rPr>
              <w:t>中国电子科技集团公司信息科学研究院成立于2013年8月，是隶属于中国电子科技集团有限公司的二级成员单位，是中国电科集团实施科技体系重构，创新驱动发展的重要举措。中国电科信息科学研究院是A类装备承制资格单位，具备武器装备科研生产单位一级保密资格、涉密信息系统集成资质，通过国军标质量管理体系GJB9001C-2017认证、CMMI成熟度三级认证、高新技术企业认证。</w:t>
            </w:r>
          </w:p>
          <w:p w14:paraId="37F9531A">
            <w:pPr>
              <w:ind w:firstLine="0" w:firstLineChars="0"/>
              <w:rPr>
                <w:rFonts w:eastAsia="仿宋_GB2312"/>
                <w:bCs/>
                <w:spacing w:val="6"/>
                <w:szCs w:val="28"/>
                <w:lang w:val="en-US"/>
              </w:rPr>
            </w:pPr>
            <w:r>
              <w:rPr>
                <w:rFonts w:eastAsia="仿宋_GB2312"/>
                <w:bCs/>
                <w:spacing w:val="6"/>
                <w:szCs w:val="28"/>
                <w:lang w:val="en-US"/>
              </w:rPr>
              <w:t>中国电科信息科学研究院坚持以习近平新时代中国特色社会主义思想为指导，坚持以国防建设为己任，以提高装备技术水平，加强军民融合产业化转型升级为目标，在集团创新使命目标下，适应未来智能时代和智能化战争发展需求，围绕建设电子信息及人工智能领域世界一流研究机构目标。</w:t>
            </w:r>
          </w:p>
          <w:p w14:paraId="0C904DCD">
            <w:pPr>
              <w:ind w:firstLine="0" w:firstLineChars="0"/>
              <w:rPr>
                <w:rFonts w:hint="eastAsia" w:ascii="仿宋_GB2312" w:hAnsi="仿宋_GB2312" w:eastAsia="仿宋_GB2312" w:cs="仿宋_GB2312"/>
              </w:rPr>
            </w:pPr>
            <w:r>
              <w:rPr>
                <w:rFonts w:eastAsia="仿宋_GB2312"/>
                <w:bCs/>
                <w:spacing w:val="6"/>
                <w:szCs w:val="28"/>
                <w:lang w:val="en-US"/>
              </w:rPr>
              <w:t>中国电科信息科学研究院以技术创新、产品创新、概念创新、模式创新为核心，定位为：从事电子信息技术领域基础性、前沿性技术创新的开放式研究机构；对接国家、军队、社会技术创新需求的重要渠道；推进科技机制体制改革、创新管理模式的重要基地；科技新战略的重要载体；推动技术成果与知识产权转化交易的示范平台。</w:t>
            </w:r>
          </w:p>
        </w:tc>
      </w:tr>
      <w:tr w14:paraId="3FFF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06C2CB7">
            <w:pPr>
              <w:ind w:firstLine="0" w:firstLineChars="0"/>
              <w:jc w:val="center"/>
              <w:rPr>
                <w:rFonts w:eastAsia="楷体_GB2312"/>
                <w:sz w:val="28"/>
                <w:szCs w:val="28"/>
                <w:lang w:val="en-US"/>
              </w:rPr>
            </w:pPr>
            <w:r>
              <w:rPr>
                <w:rFonts w:hint="eastAsia" w:eastAsia="楷体_GB2312"/>
                <w:sz w:val="28"/>
                <w:szCs w:val="28"/>
                <w:lang w:val="en-US"/>
              </w:rPr>
              <w:t>联系人</w:t>
            </w:r>
          </w:p>
        </w:tc>
        <w:tc>
          <w:tcPr>
            <w:tcW w:w="3076" w:type="dxa"/>
            <w:vAlign w:val="center"/>
          </w:tcPr>
          <w:p w14:paraId="48F5657B">
            <w:pPr>
              <w:ind w:firstLine="0" w:firstLineChars="0"/>
              <w:jc w:val="center"/>
              <w:rPr>
                <w:rFonts w:eastAsia="仿宋_GB2312"/>
                <w:bCs/>
                <w:spacing w:val="6"/>
                <w:szCs w:val="28"/>
                <w:lang w:val="en-US"/>
              </w:rPr>
            </w:pPr>
            <w:r>
              <w:rPr>
                <w:rFonts w:hint="eastAsia" w:eastAsia="仿宋_GB2312"/>
                <w:bCs/>
                <w:spacing w:val="6"/>
                <w:szCs w:val="28"/>
                <w:lang w:val="en-US"/>
              </w:rPr>
              <w:t>饶梦彬</w:t>
            </w:r>
          </w:p>
        </w:tc>
        <w:tc>
          <w:tcPr>
            <w:tcW w:w="1073" w:type="dxa"/>
            <w:vAlign w:val="center"/>
          </w:tcPr>
          <w:p w14:paraId="502AF801">
            <w:pPr>
              <w:ind w:firstLine="0" w:firstLineChars="0"/>
              <w:jc w:val="center"/>
              <w:rPr>
                <w:rFonts w:eastAsia="楷体_GB2312"/>
                <w:sz w:val="28"/>
                <w:szCs w:val="28"/>
                <w:lang w:val="en-US"/>
              </w:rPr>
            </w:pPr>
            <w:r>
              <w:rPr>
                <w:rFonts w:hint="eastAsia" w:eastAsia="楷体_GB2312"/>
                <w:sz w:val="28"/>
                <w:szCs w:val="28"/>
                <w:lang w:val="en-US"/>
              </w:rPr>
              <w:t>职务</w:t>
            </w:r>
          </w:p>
        </w:tc>
        <w:tc>
          <w:tcPr>
            <w:tcW w:w="2783" w:type="dxa"/>
            <w:vAlign w:val="center"/>
          </w:tcPr>
          <w:p w14:paraId="55BB1110">
            <w:pPr>
              <w:ind w:firstLine="0" w:firstLineChars="0"/>
              <w:jc w:val="center"/>
              <w:rPr>
                <w:rFonts w:eastAsia="仿宋_GB2312"/>
                <w:bCs/>
                <w:spacing w:val="6"/>
                <w:szCs w:val="28"/>
                <w:lang w:val="en-US"/>
              </w:rPr>
            </w:pPr>
            <w:r>
              <w:rPr>
                <w:rFonts w:hint="eastAsia" w:eastAsia="仿宋_GB2312"/>
                <w:bCs/>
                <w:spacing w:val="6"/>
                <w:szCs w:val="28"/>
                <w:lang w:val="en-US"/>
              </w:rPr>
              <w:t>无</w:t>
            </w:r>
          </w:p>
        </w:tc>
      </w:tr>
      <w:tr w14:paraId="4B758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783613B">
            <w:pPr>
              <w:ind w:firstLine="0" w:firstLineChars="0"/>
              <w:jc w:val="center"/>
              <w:rPr>
                <w:rFonts w:eastAsia="楷体_GB2312"/>
                <w:bCs/>
                <w:spacing w:val="6"/>
                <w:sz w:val="28"/>
                <w:szCs w:val="28"/>
                <w:lang w:val="en-US"/>
              </w:rPr>
            </w:pPr>
            <w:r>
              <w:rPr>
                <w:rFonts w:hint="eastAsia" w:eastAsia="楷体_GB2312"/>
                <w:sz w:val="28"/>
                <w:szCs w:val="28"/>
                <w:lang w:val="en-US"/>
              </w:rPr>
              <w:t>联系方式</w:t>
            </w:r>
          </w:p>
        </w:tc>
        <w:tc>
          <w:tcPr>
            <w:tcW w:w="3076" w:type="dxa"/>
            <w:vAlign w:val="center"/>
          </w:tcPr>
          <w:p w14:paraId="1E27302A">
            <w:pPr>
              <w:ind w:firstLine="0" w:firstLineChars="0"/>
              <w:jc w:val="center"/>
              <w:rPr>
                <w:rFonts w:eastAsia="仿宋_GB2312"/>
                <w:bCs/>
                <w:spacing w:val="6"/>
                <w:szCs w:val="28"/>
                <w:lang w:val="en-US"/>
              </w:rPr>
            </w:pPr>
            <w:r>
              <w:rPr>
                <w:rFonts w:hint="eastAsia" w:eastAsia="仿宋_GB2312"/>
                <w:bCs/>
                <w:spacing w:val="6"/>
                <w:szCs w:val="28"/>
                <w:lang w:val="en-US"/>
              </w:rPr>
              <w:t>13161152123</w:t>
            </w:r>
          </w:p>
        </w:tc>
        <w:tc>
          <w:tcPr>
            <w:tcW w:w="1073" w:type="dxa"/>
            <w:vAlign w:val="center"/>
          </w:tcPr>
          <w:p w14:paraId="28A92C11">
            <w:pPr>
              <w:ind w:firstLine="0" w:firstLineChars="0"/>
              <w:jc w:val="center"/>
              <w:rPr>
                <w:rFonts w:eastAsia="楷体_GB2312"/>
                <w:sz w:val="28"/>
                <w:szCs w:val="28"/>
                <w:lang w:val="en-US"/>
              </w:rPr>
            </w:pPr>
            <w:r>
              <w:rPr>
                <w:rFonts w:hint="eastAsia" w:eastAsia="楷体_GB2312"/>
                <w:sz w:val="28"/>
                <w:szCs w:val="28"/>
                <w:lang w:val="en-US"/>
              </w:rPr>
              <w:t>微信</w:t>
            </w:r>
          </w:p>
        </w:tc>
        <w:tc>
          <w:tcPr>
            <w:tcW w:w="2783" w:type="dxa"/>
            <w:vAlign w:val="center"/>
          </w:tcPr>
          <w:p w14:paraId="0714F623">
            <w:pPr>
              <w:ind w:firstLine="0" w:firstLineChars="0"/>
              <w:jc w:val="center"/>
              <w:rPr>
                <w:rFonts w:eastAsia="仿宋_GB2312"/>
                <w:bCs/>
                <w:spacing w:val="6"/>
                <w:szCs w:val="28"/>
                <w:lang w:val="en-US"/>
              </w:rPr>
            </w:pPr>
            <w:r>
              <w:rPr>
                <w:rFonts w:eastAsia="仿宋_GB2312"/>
                <w:bCs/>
                <w:spacing w:val="6"/>
                <w:szCs w:val="28"/>
                <w:lang w:val="en-US"/>
              </w:rPr>
              <w:t>rmbin19920114</w:t>
            </w:r>
          </w:p>
        </w:tc>
      </w:tr>
    </w:tbl>
    <w:p w14:paraId="53566FBF">
      <w:pPr>
        <w:tabs>
          <w:tab w:val="left" w:pos="8640"/>
        </w:tabs>
        <w:spacing w:line="560" w:lineRule="exact"/>
        <w:rPr>
          <w:rFonts w:eastAsia="方正黑体简体"/>
          <w:bCs/>
          <w:spacing w:val="6"/>
          <w:sz w:val="32"/>
          <w:szCs w:val="32"/>
        </w:rPr>
      </w:pPr>
      <w:r>
        <w:rPr>
          <w:rFonts w:hint="eastAsia"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FAEB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B45231">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8AF058E">
            <w:pPr>
              <w:ind w:firstLine="0" w:firstLineChars="0"/>
              <w:jc w:val="center"/>
              <w:rPr>
                <w:rFonts w:eastAsia="仿宋_GB2312"/>
                <w:bCs/>
                <w:spacing w:val="6"/>
                <w:szCs w:val="28"/>
                <w:lang w:val="en-US"/>
              </w:rPr>
            </w:pPr>
            <w:bookmarkStart w:id="3" w:name="OLE_LINK1"/>
            <w:r>
              <w:rPr>
                <w:rFonts w:hint="eastAsia" w:eastAsia="仿宋_GB2312"/>
                <w:bCs/>
                <w:spacing w:val="6"/>
                <w:szCs w:val="28"/>
                <w:lang w:val="en-US"/>
              </w:rPr>
              <w:t>基于天基图像与众源数据的细粒度目标认知增强技术</w:t>
            </w:r>
            <w:bookmarkEnd w:id="3"/>
          </w:p>
        </w:tc>
      </w:tr>
      <w:tr w14:paraId="7A2B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5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D5B67E9">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408F8C">
            <w:pPr>
              <w:ind w:firstLine="0" w:firstLineChars="0"/>
              <w:jc w:val="center"/>
              <w:rPr>
                <w:rFonts w:eastAsia="仿宋_GB2312"/>
                <w:bCs/>
                <w:spacing w:val="6"/>
                <w:szCs w:val="28"/>
                <w:lang w:val="en-US"/>
              </w:rPr>
            </w:pPr>
            <w:r>
              <w:rPr>
                <w:rFonts w:hint="eastAsia" w:eastAsia="仿宋_GB2312"/>
                <w:bCs/>
                <w:spacing w:val="6"/>
                <w:szCs w:val="28"/>
                <w:lang w:val="en-US"/>
              </w:rPr>
              <w:t>人工智能、数据分析领域</w:t>
            </w:r>
          </w:p>
        </w:tc>
      </w:tr>
      <w:tr w14:paraId="60CF4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3849"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241FB31">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72E3F3">
            <w:pPr>
              <w:ind w:firstLine="504"/>
              <w:jc w:val="both"/>
              <w:rPr>
                <w:rFonts w:eastAsia="仿宋_GB2312"/>
                <w:lang w:val="en-US"/>
              </w:rPr>
            </w:pPr>
            <w:r>
              <w:rPr>
                <w:rFonts w:hint="eastAsia" w:eastAsia="仿宋_GB2312"/>
                <w:bCs/>
                <w:color w:val="000000"/>
                <w:spacing w:val="6"/>
                <w:szCs w:val="28"/>
                <w:lang w:val="en-US"/>
              </w:rPr>
              <w:t>城市紧急救援具有</w:t>
            </w:r>
            <w:r>
              <w:rPr>
                <w:rFonts w:hint="eastAsia" w:eastAsia="仿宋_GB2312"/>
                <w:b/>
                <w:color w:val="000000"/>
                <w:spacing w:val="6"/>
                <w:szCs w:val="28"/>
                <w:lang w:val="en-US"/>
              </w:rPr>
              <w:t>时间紧迫、任务繁重</w:t>
            </w:r>
            <w:r>
              <w:rPr>
                <w:rFonts w:hint="eastAsia" w:eastAsia="仿宋_GB2312"/>
                <w:bCs/>
                <w:color w:val="000000"/>
                <w:spacing w:val="6"/>
                <w:szCs w:val="28"/>
                <w:lang w:val="en-US"/>
              </w:rPr>
              <w:t>的显著特征，黄金救援窗口往往以分钟甚至秒计算，任何决策延迟都可能导致生命财产损失扩大。这种高压环境下，救援部门迫切需要整合多源异构数据进行快速融合分析，通过整合多元化地理信息和数据资源，建立</w:t>
            </w:r>
            <w:r>
              <w:rPr>
                <w:rFonts w:hint="eastAsia" w:eastAsia="仿宋_GB2312"/>
                <w:b/>
                <w:color w:val="000000"/>
                <w:spacing w:val="6"/>
                <w:szCs w:val="28"/>
                <w:lang w:val="en-US"/>
              </w:rPr>
              <w:t>应急处置“一张图”</w:t>
            </w:r>
            <w:r>
              <w:rPr>
                <w:rFonts w:hint="eastAsia" w:eastAsia="仿宋_GB2312"/>
                <w:bCs/>
                <w:color w:val="000000"/>
                <w:spacing w:val="6"/>
                <w:szCs w:val="28"/>
                <w:lang w:val="en-US"/>
              </w:rPr>
              <w:t>。此外，当前我国天基数据的更新速度快至2小时，卫星平均重访周期大约在4个小时左右，这与城市紧急救援任务的紧急需求存在矛盾，亟需新的技术手段进一步缩短应急态势图的更新时间。因此，本项研究旨在解决天基图像与众源数据目标认知结果融合的瓶颈问题，通过多源数据信息融合补足当前天基图像信息对细粒度目标认知的短板，缩短应急态势图的更新时间，为现代城市应急救援提供技术支撑。</w:t>
            </w:r>
          </w:p>
        </w:tc>
      </w:tr>
      <w:tr w14:paraId="10F76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8C55B33">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FEE552">
            <w:pPr>
              <w:ind w:firstLine="504"/>
              <w:jc w:val="both"/>
              <w:rPr>
                <w:rFonts w:eastAsia="仿宋_GB2312"/>
                <w:bCs/>
                <w:color w:val="000000"/>
                <w:spacing w:val="6"/>
                <w:szCs w:val="28"/>
                <w:lang w:val="en-US"/>
              </w:rPr>
            </w:pPr>
            <w:r>
              <w:rPr>
                <w:rFonts w:hint="eastAsia" w:eastAsia="仿宋_GB2312"/>
                <w:bCs/>
                <w:color w:val="000000"/>
                <w:spacing w:val="6"/>
                <w:szCs w:val="28"/>
                <w:lang w:val="en-US"/>
              </w:rPr>
              <w:t>作品形式：1）多源数据目标认知增强模型；2）技术研究报告。</w:t>
            </w:r>
          </w:p>
          <w:p w14:paraId="4CB02A5E">
            <w:pPr>
              <w:ind w:firstLine="504"/>
              <w:jc w:val="both"/>
              <w:rPr>
                <w:rFonts w:eastAsia="仿宋_GB2312"/>
                <w:bCs/>
                <w:color w:val="000000"/>
                <w:spacing w:val="6"/>
                <w:szCs w:val="28"/>
                <w:lang w:val="en-US"/>
              </w:rPr>
            </w:pPr>
            <w:r>
              <w:rPr>
                <w:rFonts w:hint="eastAsia" w:eastAsia="仿宋_GB2312"/>
                <w:bCs/>
                <w:color w:val="000000"/>
                <w:spacing w:val="6"/>
                <w:szCs w:val="28"/>
                <w:lang w:val="en-US"/>
              </w:rPr>
              <w:t>提交时间：2026年5月30日前。</w:t>
            </w:r>
          </w:p>
          <w:p w14:paraId="1D563F1A">
            <w:pPr>
              <w:ind w:firstLine="504"/>
              <w:jc w:val="both"/>
              <w:rPr>
                <w:rFonts w:eastAsia="仿宋_GB2312"/>
                <w:bCs/>
                <w:color w:val="000000"/>
                <w:spacing w:val="6"/>
                <w:szCs w:val="28"/>
                <w:lang w:val="en-US"/>
              </w:rPr>
            </w:pPr>
            <w:r>
              <w:rPr>
                <w:rFonts w:hint="eastAsia" w:eastAsia="仿宋_GB2312"/>
                <w:bCs/>
                <w:color w:val="000000"/>
                <w:spacing w:val="6"/>
                <w:szCs w:val="28"/>
                <w:lang w:val="en-US"/>
              </w:rPr>
              <w:t>作品要求：这是个开放性课题，出题单位不发布数据集。参赛团队自行调研当前的前沿技术，通过自建数据集或公开数据完成模型开发，并形成技术研究报告（涵盖摘要、国内外现状、创新点、详细的技术途径、实验结果）。</w:t>
            </w:r>
          </w:p>
          <w:p w14:paraId="5BCBCF52">
            <w:pPr>
              <w:ind w:firstLine="504"/>
              <w:jc w:val="both"/>
              <w:rPr>
                <w:rFonts w:hint="eastAsia" w:ascii="仿宋_GB2312" w:hAnsi="仿宋_GB2312" w:eastAsia="仿宋_GB2312" w:cs="仿宋_GB2312"/>
              </w:rPr>
            </w:pPr>
            <w:r>
              <w:rPr>
                <w:rFonts w:hint="eastAsia" w:eastAsia="仿宋_GB2312"/>
                <w:bCs/>
                <w:color w:val="000000"/>
                <w:spacing w:val="6"/>
                <w:szCs w:val="28"/>
                <w:lang w:val="en-US"/>
              </w:rPr>
              <w:t>评选标准：以技术研究报告的质量作为标准，由出题单位专家进行打分，按照得分高低进行排序。</w:t>
            </w:r>
          </w:p>
        </w:tc>
      </w:tr>
      <w:tr w14:paraId="688AE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93467">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作品评审</w:t>
            </w:r>
          </w:p>
          <w:p w14:paraId="25AFB9C7">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EF610F">
            <w:pPr>
              <w:ind w:firstLine="504"/>
              <w:jc w:val="both"/>
              <w:rPr>
                <w:rFonts w:eastAsia="仿宋_GB2312"/>
              </w:rPr>
            </w:pPr>
            <w:r>
              <w:rPr>
                <w:rFonts w:hint="eastAsia" w:eastAsia="仿宋_GB2312"/>
                <w:bCs/>
                <w:color w:val="000000"/>
                <w:spacing w:val="6"/>
                <w:szCs w:val="28"/>
                <w:lang w:val="en-US"/>
              </w:rPr>
              <w:t>以技术研究报告的质量作为标准，从需求契合程度（20分）、研究现状综述完整性（20分）、数据分析与论证（30分）、技术前沿创新性（20分）和规范表达（10分），五个维度由专家进行打分。此外，提交的模型算法能够复现技术研究报告中的实验结果。</w:t>
            </w:r>
          </w:p>
        </w:tc>
      </w:tr>
      <w:tr w14:paraId="0CB6F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15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335A26">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08CB85">
            <w:pPr>
              <w:tabs>
                <w:tab w:val="left" w:pos="3432"/>
              </w:tabs>
              <w:rPr>
                <w:rFonts w:eastAsia="仿宋_GB2312"/>
                <w:bCs/>
                <w:spacing w:val="6"/>
                <w:szCs w:val="28"/>
              </w:rPr>
            </w:pPr>
            <w:r>
              <w:rPr>
                <w:rFonts w:hint="eastAsia" w:eastAsia="仿宋_GB2312"/>
              </w:rPr>
              <w:t>无。</w:t>
            </w:r>
          </w:p>
        </w:tc>
      </w:tr>
    </w:tbl>
    <w:p w14:paraId="56B64F07">
      <w:pPr>
        <w:tabs>
          <w:tab w:val="left" w:pos="3432"/>
        </w:tabs>
        <w:rPr>
          <w:rFonts w:eastAsia="方正黑体简体"/>
        </w:rPr>
      </w:pPr>
      <w:r>
        <w:rPr>
          <w:rFonts w:hint="eastAsia" w:eastAsia="方正黑体简体"/>
        </w:rPr>
        <w:br w:type="page"/>
      </w:r>
    </w:p>
    <w:p w14:paraId="0B793E09">
      <w:pPr>
        <w:tabs>
          <w:tab w:val="left" w:pos="8640"/>
        </w:tabs>
        <w:spacing w:line="560" w:lineRule="exact"/>
        <w:rPr>
          <w:rFonts w:eastAsia="方正黑体简体"/>
          <w:bCs/>
          <w:spacing w:val="6"/>
          <w:sz w:val="32"/>
          <w:szCs w:val="32"/>
        </w:rPr>
      </w:pPr>
      <w:r>
        <w:rPr>
          <w:rFonts w:hint="eastAsia"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BA07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6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B45B7F">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6FA218">
            <w:pPr>
              <w:ind w:firstLine="504"/>
              <w:jc w:val="both"/>
              <w:rPr>
                <w:rFonts w:eastAsia="仿宋_GB2312"/>
              </w:rPr>
            </w:pPr>
            <w:r>
              <w:rPr>
                <w:rFonts w:hint="eastAsia" w:eastAsia="仿宋_GB2312"/>
                <w:bCs/>
                <w:color w:val="000000"/>
                <w:spacing w:val="6"/>
                <w:szCs w:val="28"/>
                <w:lang w:val="en-US"/>
              </w:rPr>
              <w:t>出题单位可在2026年3月底前通过线上或线下途径为参赛团队提供需求对接与答疑环节，同时出题单位配备专员在比赛过程中提供必要的说明与答疑。</w:t>
            </w:r>
          </w:p>
        </w:tc>
      </w:tr>
      <w:tr w14:paraId="189B0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85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474D5A">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B3C349">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rPr>
              <w:t>一、奖项设置</w:t>
            </w:r>
          </w:p>
          <w:p w14:paraId="30F301CE">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eastAsia="zh-CN"/>
              </w:rPr>
              <w:t>原则上设“擂主”团队1个，</w:t>
            </w:r>
            <w:r>
              <w:rPr>
                <w:rFonts w:hint="eastAsia" w:eastAsia="仿宋_GB2312"/>
                <w:bCs/>
                <w:color w:val="000000"/>
                <w:spacing w:val="6"/>
                <w:szCs w:val="28"/>
                <w:lang w:val="en-US"/>
              </w:rPr>
              <w:t>根据实际情况评出相应的特等奖、一等奖、二等奖、三等奖项目若干。</w:t>
            </w:r>
          </w:p>
          <w:p w14:paraId="26B8CD05">
            <w:pPr>
              <w:ind w:firstLine="504"/>
              <w:jc w:val="both"/>
              <w:rPr>
                <w:rFonts w:hint="eastAsia" w:eastAsia="仿宋_GB2312"/>
                <w:bCs/>
                <w:color w:val="000000"/>
                <w:spacing w:val="6"/>
                <w:szCs w:val="28"/>
                <w:lang w:val="en-US"/>
              </w:rPr>
            </w:pPr>
            <w:r>
              <w:rPr>
                <w:rFonts w:hint="eastAsia" w:eastAsia="仿宋_GB2312"/>
                <w:bCs/>
                <w:color w:val="000000"/>
                <w:spacing w:val="6"/>
                <w:szCs w:val="28"/>
                <w:lang w:val="en-US"/>
              </w:rPr>
              <w:t>二、激励措施</w:t>
            </w:r>
          </w:p>
          <w:p w14:paraId="118C0C58">
            <w:pPr>
              <w:ind w:firstLine="504"/>
              <w:jc w:val="both"/>
              <w:rPr>
                <w:rFonts w:eastAsia="仿宋_GB2312"/>
                <w:lang w:val="en-US"/>
              </w:rPr>
            </w:pPr>
            <w:r>
              <w:rPr>
                <w:rFonts w:hint="eastAsia" w:eastAsia="仿宋_GB2312"/>
                <w:bCs/>
                <w:color w:val="000000"/>
                <w:spacing w:val="6"/>
                <w:szCs w:val="28"/>
                <w:lang w:val="en-US"/>
              </w:rPr>
              <w:t>本榜题将结合实际获奖情况给予适度奖金奖励。出题单位可为获奖者提供就业内推机会，可为“擂主”团队提供岗位实习机会，并视具体情况提供项目合作机会。</w:t>
            </w:r>
          </w:p>
        </w:tc>
      </w:tr>
    </w:tbl>
    <w:p w14:paraId="6031D4E4">
      <w:pPr>
        <w:tabs>
          <w:tab w:val="left" w:pos="8640"/>
        </w:tabs>
        <w:spacing w:line="560" w:lineRule="exact"/>
        <w:rPr>
          <w:rFonts w:eastAsia="方正黑体简体"/>
          <w:bCs/>
          <w:spacing w:val="6"/>
          <w:sz w:val="32"/>
          <w:szCs w:val="32"/>
        </w:rPr>
      </w:pPr>
      <w:r>
        <w:rPr>
          <w:rFonts w:hint="eastAsia" w:eastAsia="方正黑体简体"/>
          <w:bCs/>
          <w:spacing w:val="6"/>
          <w:sz w:val="32"/>
          <w:szCs w:val="32"/>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58BB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C79E81E">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5E9B6">
            <w:pPr>
              <w:ind w:firstLine="504"/>
              <w:jc w:val="both"/>
              <w:rPr>
                <w:rFonts w:eastAsia="仿宋_GB2312"/>
                <w:bCs/>
                <w:color w:val="000000"/>
                <w:spacing w:val="6"/>
                <w:szCs w:val="28"/>
                <w:lang w:val="en-US"/>
              </w:rPr>
            </w:pPr>
            <w:r>
              <w:rPr>
                <w:rFonts w:hint="eastAsia" w:eastAsia="仿宋_GB2312"/>
                <w:bCs/>
                <w:color w:val="000000"/>
                <w:spacing w:val="6"/>
                <w:szCs w:val="28"/>
                <w:lang w:val="en-US"/>
              </w:rPr>
              <w:t>众源手段获取的平视视角图像，其成像时间、周期没有严格的限制，但这类数据成像视角窄、地理位置不明确，与天基底图融合难，导致平视数据未被广泛用于城市应急救援“一张图”。当前</w:t>
            </w:r>
            <w:r>
              <w:rPr>
                <w:rFonts w:hint="eastAsia" w:eastAsia="仿宋_GB2312"/>
                <w:bCs/>
                <w:spacing w:val="6"/>
                <w:szCs w:val="28"/>
                <w:lang w:val="en-US"/>
              </w:rPr>
              <w:t>基于天基图像与众源数据的细粒度目标认知增强技术的难点在于：攻克平视视图与天基底图信息地理位置、目标信息对齐问题，一定程度上可以缩短城市态势图的更新时间，提升现代城市应急救援的效率。</w:t>
            </w:r>
          </w:p>
          <w:p w14:paraId="2F83A1E4">
            <w:pPr>
              <w:ind w:firstLine="504"/>
              <w:jc w:val="both"/>
              <w:rPr>
                <w:rFonts w:eastAsia="仿宋_GB2312"/>
                <w:bCs/>
                <w:color w:val="000000"/>
                <w:spacing w:val="6"/>
                <w:szCs w:val="28"/>
                <w:lang w:val="en-US"/>
              </w:rPr>
            </w:pPr>
          </w:p>
        </w:tc>
      </w:tr>
      <w:tr w14:paraId="2BD99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B573D">
            <w:pPr>
              <w:spacing w:line="560" w:lineRule="exact"/>
              <w:ind w:firstLine="0" w:firstLineChars="0"/>
              <w:jc w:val="center"/>
              <w:rPr>
                <w:rFonts w:eastAsia="楷体_GB2312"/>
                <w:color w:val="000000"/>
                <w:sz w:val="28"/>
                <w:szCs w:val="28"/>
                <w:lang w:val="en-US"/>
              </w:rPr>
            </w:pPr>
            <w:r>
              <w:rPr>
                <w:rFonts w:hint="eastAsia" w:eastAsia="楷体_GB2312"/>
                <w:color w:val="000000"/>
                <w:sz w:val="28"/>
                <w:szCs w:val="28"/>
                <w:lang w:val="en-US"/>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F58805">
            <w:pPr>
              <w:ind w:firstLine="504"/>
              <w:jc w:val="both"/>
              <w:rPr>
                <w:rFonts w:eastAsia="仿宋_GB2312"/>
                <w:bCs/>
                <w:color w:val="000000"/>
                <w:spacing w:val="6"/>
                <w:szCs w:val="28"/>
                <w:lang w:val="en-US"/>
              </w:rPr>
            </w:pPr>
            <w:r>
              <w:rPr>
                <w:rFonts w:hint="eastAsia" w:eastAsia="仿宋_GB2312"/>
                <w:bCs/>
                <w:color w:val="000000"/>
                <w:spacing w:val="6"/>
                <w:szCs w:val="28"/>
                <w:lang w:val="en-US"/>
              </w:rPr>
              <w:t>该技术可应用于城市应急救援任务，通过整合众源目标信息，快速更新大区域范围的应急处置“一张图”，以在短时间内精准判断灾情态势、优化救援路径，科学调配力量，直接关系到救援任务的成败与效率。</w:t>
            </w:r>
          </w:p>
        </w:tc>
      </w:tr>
    </w:tbl>
    <w:p w14:paraId="3BF77ABB">
      <w:pPr>
        <w:rPr>
          <w:rFonts w:hint="eastAsia" w:eastAsia="楷体_GB2312"/>
        </w:rPr>
      </w:pPr>
      <w:r>
        <w:rPr>
          <w:rFonts w:hint="eastAsia" w:eastAsia="楷体_GB2312"/>
        </w:rPr>
        <w:br w:type="page"/>
      </w:r>
    </w:p>
    <w:p w14:paraId="6788A1C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EA06722">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0</w:t>
      </w:r>
    </w:p>
    <w:p w14:paraId="081E596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DE78E30">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B27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8EE8FEA">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76AD3A19">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spacing w:val="6"/>
                <w:szCs w:val="28"/>
                <w:lang w:val="en-US"/>
              </w:rPr>
              <w:t>中国船舶集团有限公司综合技术经济研究院</w:t>
            </w:r>
          </w:p>
        </w:tc>
      </w:tr>
      <w:tr w14:paraId="5708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D0D092C">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74C7E67B">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p>
        </w:tc>
      </w:tr>
      <w:tr w14:paraId="61467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25B7764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5DE7858B">
            <w:pPr>
              <w:adjustRightInd w:val="0"/>
              <w:jc w:val="center"/>
              <w:rPr>
                <w:rFonts w:ascii="仿宋_GB2312" w:hAnsi="仿宋_GB2312" w:eastAsia="仿宋_GB2312" w:cs="仿宋_GB2312"/>
              </w:rPr>
            </w:pPr>
            <w:r>
              <w:rPr>
                <w:rFonts w:hint="eastAsia" w:ascii="仿宋_GB2312" w:hAnsi="仿宋_GB2312" w:eastAsia="仿宋_GB2312" w:cs="仿宋_GB2312"/>
              </w:rPr>
              <w:t>学院南路7</w:t>
            </w:r>
            <w:r>
              <w:rPr>
                <w:rFonts w:ascii="仿宋_GB2312" w:hAnsi="仿宋_GB2312" w:eastAsia="仿宋_GB2312" w:cs="仿宋_GB2312"/>
              </w:rPr>
              <w:t>0</w:t>
            </w:r>
            <w:r>
              <w:rPr>
                <w:rFonts w:hint="eastAsia" w:ascii="仿宋_GB2312" w:hAnsi="仿宋_GB2312" w:eastAsia="仿宋_GB2312" w:cs="仿宋_GB2312"/>
              </w:rPr>
              <w:t>号</w:t>
            </w:r>
          </w:p>
        </w:tc>
      </w:tr>
      <w:tr w14:paraId="6E31D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581078D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77D9DE17">
            <w:pPr>
              <w:adjustRightInd w:val="0"/>
              <w:snapToGrid w:val="0"/>
              <w:jc w:val="both"/>
              <w:rPr>
                <w:rFonts w:ascii="仿宋_GB2312" w:hAnsi="仿宋_GB2312" w:eastAsia="仿宋_GB2312" w:cs="仿宋_GB2312"/>
                <w:bCs/>
                <w:spacing w:val="6"/>
                <w:szCs w:val="28"/>
              </w:rPr>
            </w:pPr>
            <w:bookmarkStart w:id="4" w:name="OLE_LINK2"/>
            <w:r>
              <w:rPr>
                <w:rFonts w:hint="eastAsia" w:ascii="仿宋_GB2312" w:hAnsi="仿宋_GB2312" w:eastAsia="仿宋_GB2312" w:cs="仿宋_GB2312"/>
              </w:rPr>
              <w:t>中国船舶集团有限公司综合技术经济研究院</w:t>
            </w:r>
            <w:bookmarkEnd w:id="4"/>
            <w:r>
              <w:rPr>
                <w:rFonts w:hint="eastAsia" w:ascii="仿宋_GB2312" w:hAnsi="仿宋_GB2312" w:eastAsia="仿宋_GB2312" w:cs="仿宋_GB2312"/>
              </w:rPr>
              <w:t>（简称“中船综合院”）属于中国船舶集团有限公司，是船舶行业唯一的综合性国防军工技术基础研究单位</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是人因工程全国重点实验室挂靠单位</w:t>
            </w:r>
            <w:r>
              <w:rPr>
                <w:rFonts w:hint="eastAsia" w:ascii="仿宋_GB2312" w:hAnsi="仿宋_GB2312" w:eastAsia="仿宋_GB2312" w:cs="仿宋_GB2312"/>
              </w:rPr>
              <w:t>。中船综合院秉承“支撑国防工业发展，运筹船舶行业未来”的发展使命，聚焦“一流行业智库、一流基础院所、一流央企党校”战略目标，围绕“软实力助力船舶工业高质量发展，基础科研支撑海军战斗力生成”战略主线，构建“北京、广东、青岛、涿州”四地协同发展的空间格局，统筹发挥船舶经济研究、船舶标准化、船舶质量与可靠性、船舶人机工效、知识产权与成果管理、舰船软件测评、国防科技创新管理研究、教育培训、服务设计、文化传媒等专业领域优势，致力于打造成为专业技术突出、业务特色鲜明、质量效益优异、综合影响力强的船舶军工行业一流智库基础科研院所。</w:t>
            </w:r>
          </w:p>
        </w:tc>
      </w:tr>
      <w:tr w14:paraId="126A0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2C29C57">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2B9864F5">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rPr>
              <w:t>李宁</w:t>
            </w:r>
          </w:p>
        </w:tc>
        <w:tc>
          <w:tcPr>
            <w:tcW w:w="1073" w:type="dxa"/>
            <w:vAlign w:val="center"/>
          </w:tcPr>
          <w:p w14:paraId="54E5D96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13CF3C77">
            <w:pPr>
              <w:adjustRightInd w:val="0"/>
              <w:snapToGrid w:val="0"/>
              <w:jc w:val="center"/>
              <w:rPr>
                <w:rFonts w:eastAsia="方正仿宋简体"/>
              </w:rPr>
            </w:pPr>
            <w:r>
              <w:rPr>
                <w:rFonts w:hint="eastAsia" w:ascii="仿宋_GB2312" w:hAnsi="仿宋_GB2312" w:eastAsia="仿宋_GB2312" w:cs="仿宋_GB2312"/>
              </w:rPr>
              <w:t>副主任/高级工程师</w:t>
            </w:r>
          </w:p>
        </w:tc>
      </w:tr>
      <w:tr w14:paraId="1670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55150677">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5CFAD810">
            <w:pPr>
              <w:adjustRightInd w:val="0"/>
              <w:snapToGrid w:val="0"/>
              <w:jc w:val="center"/>
              <w:rPr>
                <w:rFonts w:ascii="仿宋_GB2312" w:hAnsi="仿宋_GB2312" w:eastAsia="仿宋_GB2312" w:cs="仿宋_GB2312"/>
                <w:bCs/>
                <w:spacing w:val="6"/>
                <w:szCs w:val="28"/>
                <w:lang w:val="en-US"/>
              </w:rPr>
            </w:pPr>
            <w:r>
              <w:rPr>
                <w:rFonts w:ascii="仿宋_GB2312" w:hAnsi="仿宋_GB2312" w:eastAsia="仿宋_GB2312" w:cs="仿宋_GB2312"/>
              </w:rPr>
              <w:t>15210504416</w:t>
            </w:r>
          </w:p>
        </w:tc>
        <w:tc>
          <w:tcPr>
            <w:tcW w:w="1073" w:type="dxa"/>
            <w:vAlign w:val="center"/>
          </w:tcPr>
          <w:p w14:paraId="27CA645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2EA4433C">
            <w:pPr>
              <w:adjustRightInd w:val="0"/>
              <w:jc w:val="center"/>
              <w:rPr>
                <w:rFonts w:eastAsia="方正仿宋简体"/>
              </w:rPr>
            </w:pPr>
          </w:p>
        </w:tc>
      </w:tr>
    </w:tbl>
    <w:p w14:paraId="23606221">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89CB5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564B90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1EB3181">
            <w:pPr>
              <w:adjustRightInd w:val="0"/>
              <w:snapToGrid w:val="0"/>
              <w:jc w:val="center"/>
              <w:rPr>
                <w:rFonts w:ascii="仿宋_GB2312" w:hAnsi="仿宋_GB2312" w:eastAsia="仿宋_GB2312" w:cs="仿宋_GB2312"/>
              </w:rPr>
            </w:pPr>
            <w:r>
              <w:rPr>
                <w:rFonts w:hint="eastAsia" w:ascii="仿宋_GB2312" w:hAnsi="仿宋_GB2312" w:eastAsia="仿宋_GB2312" w:cs="仿宋_GB2312"/>
                <w:bCs/>
                <w:color w:val="000000"/>
                <w:spacing w:val="6"/>
                <w:szCs w:val="28"/>
              </w:rPr>
              <w:t>基于作业人员认知及行</w:t>
            </w:r>
            <w:r>
              <w:rPr>
                <w:rFonts w:hint="eastAsia" w:ascii="仿宋_GB2312" w:hAnsi="仿宋_GB2312" w:eastAsia="仿宋_GB2312" w:cs="仿宋_GB2312"/>
              </w:rPr>
              <w:t>为融合的交互意图预测</w:t>
            </w:r>
          </w:p>
          <w:p w14:paraId="4F00C83A">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rPr>
              <w:t>及智能推理</w:t>
            </w:r>
            <w:r>
              <w:rPr>
                <w:rFonts w:hint="eastAsia" w:ascii="仿宋_GB2312" w:hAnsi="仿宋_GB2312" w:eastAsia="仿宋_GB2312" w:cs="仿宋_GB2312"/>
                <w:bCs/>
                <w:color w:val="000000"/>
                <w:spacing w:val="6"/>
                <w:szCs w:val="28"/>
              </w:rPr>
              <w:t>模型</w:t>
            </w:r>
          </w:p>
        </w:tc>
      </w:tr>
      <w:tr w14:paraId="3B7C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C2B0A4">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DFCFB7">
            <w:pPr>
              <w:adjustRightInd w:val="0"/>
              <w:snapToGrid w:val="0"/>
              <w:ind w:firstLine="480" w:firstLineChars="200"/>
              <w:jc w:val="both"/>
              <w:rPr>
                <w:rFonts w:ascii="仿宋_GB2312" w:hAnsi="仿宋_GB2312" w:eastAsia="仿宋_GB2312" w:cs="仿宋_GB2312"/>
                <w:color w:val="000000"/>
              </w:rPr>
            </w:pPr>
            <w:r>
              <w:rPr>
                <w:rFonts w:hint="eastAsia" w:ascii="仿宋_GB2312" w:eastAsia="仿宋_GB2312"/>
              </w:rPr>
              <w:t>本选题是一个人机工效、人工智能、信息技术、装备系统及工业产品等高度交叉的前沿领域。它旨在通过实时、多维度地捕捉和分析作业人员的认知状态与行为，来预测作业人员的交互意图，并以此为智能系统提供推理和辅助决策的能力，能够支持多个前沿领域的技术。</w:t>
            </w:r>
          </w:p>
        </w:tc>
      </w:tr>
      <w:tr w14:paraId="3CD54A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70B7EA">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5ACD1C5">
            <w:pPr>
              <w:adjustRightInd w:val="0"/>
              <w:snapToGrid w:val="0"/>
              <w:ind w:firstLine="480" w:firstLineChars="200"/>
              <w:jc w:val="both"/>
              <w:rPr>
                <w:rFonts w:ascii="仿宋_GB2312" w:eastAsia="仿宋_GB2312"/>
              </w:rPr>
            </w:pPr>
            <w:r>
              <w:rPr>
                <w:rFonts w:hint="eastAsia" w:ascii="仿宋_GB2312" w:eastAsia="仿宋_GB2312"/>
              </w:rPr>
              <w:t>智能系统在复杂系统操作任务中，正从被动的工具向主动的、具备情境感知与认知能力的协助伙伴演进，特别是在协助人员学习与适应方面，需要通过系统以智能协助支撑的方式帮助作业人员完成任务，特别是在帮助新的用户学习复杂系统，或是用户学习新的任务过程中，智能协助起到非常重要的作用。在传统的新用户和学习新任务系统时，通常采用操作手册的方式，但是传统操作手册往往存在效率低下的问题，尤其是在涉及繁琐流程的场景中，作业人员需要在有限时间内快速理解任务逻辑与操作步骤。</w:t>
            </w:r>
          </w:p>
          <w:p w14:paraId="3AA8F721">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ascii="仿宋_GB2312" w:eastAsia="仿宋_GB2312"/>
              </w:rPr>
              <w:t>本</w:t>
            </w:r>
            <w:r>
              <w:rPr>
                <w:rFonts w:hint="eastAsia" w:ascii="仿宋_GB2312" w:eastAsia="仿宋_GB2312"/>
              </w:rPr>
              <w:t>选题</w:t>
            </w:r>
            <w:r>
              <w:rPr>
                <w:rFonts w:ascii="仿宋_GB2312" w:eastAsia="仿宋_GB2312"/>
              </w:rPr>
              <w:t>以复杂任务执行需求为背景，通过</w:t>
            </w:r>
            <w:r>
              <w:rPr>
                <w:rFonts w:hint="eastAsia" w:ascii="仿宋_GB2312" w:eastAsia="仿宋_GB2312"/>
              </w:rPr>
              <w:t>提取基于作业人员眼动及行为数据，建立基于关键眼动特征及交互行为学习的意图预测模型，构建面向新用户、新任务适配的交互式意图的智能推理应用方法</w:t>
            </w:r>
            <w:r>
              <w:rPr>
                <w:rFonts w:ascii="仿宋_GB2312" w:eastAsia="仿宋_GB2312"/>
              </w:rPr>
              <w:t>，从而</w:t>
            </w:r>
            <w:r>
              <w:rPr>
                <w:rFonts w:hint="eastAsia" w:ascii="仿宋_GB2312" w:eastAsia="仿宋_GB2312"/>
              </w:rPr>
              <w:t>为</w:t>
            </w:r>
            <w:r>
              <w:rPr>
                <w:rFonts w:ascii="仿宋_GB2312" w:eastAsia="仿宋_GB2312"/>
              </w:rPr>
              <w:t>辅助作业人员完成系统交互动作，以提升交互效率</w:t>
            </w:r>
            <w:r>
              <w:rPr>
                <w:rFonts w:hint="eastAsia" w:ascii="仿宋_GB2312" w:eastAsia="仿宋_GB2312"/>
              </w:rPr>
              <w:t>的应用领域提供支撑</w:t>
            </w:r>
            <w:r>
              <w:rPr>
                <w:rFonts w:ascii="仿宋_GB2312" w:eastAsia="仿宋_GB2312"/>
              </w:rPr>
              <w:t>。</w:t>
            </w:r>
          </w:p>
        </w:tc>
      </w:tr>
      <w:tr w14:paraId="22A4C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62B0A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ACDD8E">
            <w:pPr>
              <w:overflowPunct w:val="0"/>
              <w:adjustRightInd w:val="0"/>
              <w:ind w:firstLine="482" w:firstLineChars="200"/>
              <w:rPr>
                <w:rFonts w:ascii="仿宋_GB2312" w:eastAsia="仿宋_GB2312"/>
                <w:b/>
              </w:rPr>
            </w:pPr>
            <w:r>
              <w:rPr>
                <w:rFonts w:hint="eastAsia" w:ascii="仿宋_GB2312" w:eastAsia="仿宋_GB2312"/>
                <w:b/>
              </w:rPr>
              <w:t>1</w:t>
            </w:r>
            <w:r>
              <w:rPr>
                <w:rFonts w:ascii="仿宋_GB2312" w:eastAsia="仿宋_GB2312"/>
                <w:b/>
              </w:rPr>
              <w:t>.</w:t>
            </w:r>
            <w:r>
              <w:rPr>
                <w:rFonts w:hint="eastAsia" w:ascii="仿宋_GB2312" w:eastAsia="仿宋_GB2312"/>
                <w:b/>
              </w:rPr>
              <w:t>答题要求</w:t>
            </w:r>
          </w:p>
          <w:p w14:paraId="61BC86F6">
            <w:pPr>
              <w:adjustRightInd w:val="0"/>
              <w:snapToGrid w:val="0"/>
              <w:ind w:firstLine="480" w:firstLineChars="200"/>
              <w:jc w:val="both"/>
              <w:rPr>
                <w:rFonts w:ascii="仿宋_GB2312" w:eastAsia="仿宋_GB2312"/>
              </w:rPr>
            </w:pPr>
            <w:r>
              <w:rPr>
                <w:rFonts w:hint="eastAsia" w:ascii="仿宋_GB2312" w:eastAsia="仿宋_GB2312"/>
              </w:rPr>
              <w:t>构建一套基于作业人员认知及行为融合的交互意图预测及智能推理模型，包含以下内容：</w:t>
            </w:r>
          </w:p>
          <w:p w14:paraId="18927C23">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1</w:t>
            </w:r>
            <w:r>
              <w:rPr>
                <w:rFonts w:hint="eastAsia" w:ascii="仿宋_GB2312" w:eastAsia="仿宋_GB2312"/>
              </w:rPr>
              <w:t>）提取基于作业人员眼动及行为数据，筛选出与用户操作意图高度相关的眼动关键特征，然后结合这些特征设计意图预测模型方案，包括模型的输入结构、特征处理方式、网络架构选择以及训练策略，建立基于关键眼动特征及交互行为学习的意图预测模型，预测准确度不低于8</w:t>
            </w:r>
            <w:r>
              <w:rPr>
                <w:rFonts w:ascii="仿宋_GB2312" w:eastAsia="仿宋_GB2312"/>
              </w:rPr>
              <w:t>0%</w:t>
            </w:r>
            <w:r>
              <w:rPr>
                <w:rFonts w:hint="eastAsia" w:ascii="仿宋_GB2312" w:eastAsia="仿宋_GB2312"/>
              </w:rPr>
              <w:t>；</w:t>
            </w:r>
          </w:p>
          <w:p w14:paraId="46B10C5A">
            <w:pPr>
              <w:adjustRightInd w:val="0"/>
              <w:snapToGrid w:val="0"/>
              <w:ind w:firstLine="480" w:firstLineChars="200"/>
              <w:jc w:val="both"/>
              <w:rPr>
                <w:rFonts w:ascii="仿宋_GB2312" w:eastAsia="仿宋_GB2312"/>
              </w:rPr>
            </w:pPr>
            <w:r>
              <w:rPr>
                <w:rFonts w:ascii="仿宋_GB2312" w:eastAsia="仿宋_GB2312"/>
              </w:rPr>
              <w:t>（2）</w:t>
            </w:r>
            <w:r>
              <w:rPr>
                <w:rFonts w:hint="eastAsia" w:ascii="仿宋_GB2312" w:eastAsia="仿宋_GB2312"/>
              </w:rPr>
              <w:t>模型具备适配学习新任务功能，至少体现不少于</w:t>
            </w:r>
            <w:r>
              <w:rPr>
                <w:rFonts w:ascii="仿宋_GB2312" w:eastAsia="仿宋_GB2312"/>
              </w:rPr>
              <w:t>2个</w:t>
            </w:r>
            <w:r>
              <w:rPr>
                <w:rFonts w:hint="eastAsia" w:ascii="仿宋_GB2312" w:eastAsia="仿宋_GB2312"/>
              </w:rPr>
              <w:t>典型任务流</w:t>
            </w:r>
            <w:r>
              <w:rPr>
                <w:rFonts w:ascii="仿宋_GB2312" w:eastAsia="仿宋_GB2312"/>
              </w:rPr>
              <w:t>场景</w:t>
            </w:r>
            <w:r>
              <w:rPr>
                <w:rFonts w:hint="eastAsia" w:ascii="仿宋_GB2312" w:eastAsia="仿宋_GB2312"/>
              </w:rPr>
              <w:t>，模型能够快速学习新任务的预测与推理下一步操作的功能，并引导用户完成新任务交互模式，并通过实验验证。</w:t>
            </w:r>
          </w:p>
          <w:p w14:paraId="1133B709">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3</w:t>
            </w:r>
            <w:r>
              <w:rPr>
                <w:rFonts w:hint="eastAsia" w:ascii="仿宋_GB2312" w:eastAsia="仿宋_GB2312"/>
              </w:rPr>
              <w:t>）实现面向新用户培训的交互式意图预测和智能推理方法，实现从眼动数据采集、预处理、模型推理到结果反馈与新任务学习模式，并通过演示验证，有助于提升新用户、新任务的训练效率。</w:t>
            </w:r>
          </w:p>
          <w:p w14:paraId="08017BB0">
            <w:pPr>
              <w:adjustRightInd w:val="0"/>
              <w:snapToGrid w:val="0"/>
              <w:ind w:firstLine="480" w:firstLineChars="200"/>
              <w:jc w:val="both"/>
              <w:rPr>
                <w:rFonts w:ascii="仿宋_GB2312" w:eastAsia="仿宋_GB2312"/>
              </w:rPr>
            </w:pPr>
            <w:r>
              <w:rPr>
                <w:rFonts w:hint="eastAsia" w:ascii="仿宋_GB2312" w:eastAsia="仿宋_GB2312"/>
              </w:rPr>
              <w:t>（4）提交成果形式包含针对上述问题成果形式如下：</w:t>
            </w:r>
          </w:p>
          <w:p w14:paraId="3BF2B0E1">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1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①</w:t>
            </w:r>
            <w:r>
              <w:rPr>
                <w:rFonts w:ascii="仿宋_GB2312" w:eastAsia="仿宋_GB2312"/>
              </w:rPr>
              <w:fldChar w:fldCharType="end"/>
            </w:r>
            <w:r>
              <w:rPr>
                <w:rFonts w:hint="eastAsia" w:ascii="仿宋_GB2312" w:eastAsia="仿宋_GB2312"/>
              </w:rPr>
              <w:t>研究报告1份，报告需要阐述问题分析过程、模型构建思路、算法设计原理、实验结果以及验证情况等；</w:t>
            </w:r>
          </w:p>
          <w:p w14:paraId="68788C71">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2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②</w:t>
            </w:r>
            <w:r>
              <w:rPr>
                <w:rFonts w:ascii="仿宋_GB2312" w:eastAsia="仿宋_GB2312"/>
              </w:rPr>
              <w:fldChar w:fldCharType="end"/>
            </w:r>
            <w:r>
              <w:rPr>
                <w:rFonts w:hint="eastAsia" w:ascii="仿宋_GB2312" w:eastAsia="仿宋_GB2312"/>
              </w:rPr>
              <w:t>演示软件及模型算法代码1套，包含完整、可运行的模型实现代码，可部署演示运行。</w:t>
            </w:r>
          </w:p>
          <w:p w14:paraId="73B0A9AF">
            <w:pPr>
              <w:adjustRightInd w:val="0"/>
              <w:snapToGrid w:val="0"/>
              <w:ind w:firstLine="480" w:firstLineChars="200"/>
              <w:jc w:val="both"/>
              <w:rPr>
                <w:rFonts w:ascii="仿宋_GB2312" w:eastAsia="仿宋_GB2312"/>
              </w:rPr>
            </w:pPr>
            <w:r>
              <w:rPr>
                <w:rFonts w:ascii="仿宋_GB2312" w:eastAsia="仿宋_GB2312"/>
              </w:rPr>
              <w:fldChar w:fldCharType="begin"/>
            </w:r>
            <w:r>
              <w:rPr>
                <w:rFonts w:ascii="仿宋_GB2312" w:eastAsia="仿宋_GB2312"/>
              </w:rPr>
              <w:instrText xml:space="preserve"> </w:instrText>
            </w:r>
            <w:r>
              <w:rPr>
                <w:rFonts w:hint="eastAsia" w:ascii="仿宋_GB2312" w:eastAsia="仿宋_GB2312"/>
              </w:rPr>
              <w:instrText xml:space="preserve">= 3 \* GB3</w:instrText>
            </w:r>
            <w:r>
              <w:rPr>
                <w:rFonts w:ascii="仿宋_GB2312" w:eastAsia="仿宋_GB2312"/>
              </w:rPr>
              <w:instrText xml:space="preserve"> </w:instrText>
            </w:r>
            <w:r>
              <w:rPr>
                <w:rFonts w:ascii="仿宋_GB2312" w:eastAsia="仿宋_GB2312"/>
              </w:rPr>
              <w:fldChar w:fldCharType="separate"/>
            </w:r>
            <w:r>
              <w:rPr>
                <w:rFonts w:hint="eastAsia" w:ascii="仿宋_GB2312" w:eastAsia="仿宋_GB2312"/>
              </w:rPr>
              <w:t>③</w:t>
            </w:r>
            <w:r>
              <w:rPr>
                <w:rFonts w:ascii="仿宋_GB2312" w:eastAsia="仿宋_GB2312"/>
              </w:rPr>
              <w:fldChar w:fldCharType="end"/>
            </w:r>
            <w:r>
              <w:rPr>
                <w:rFonts w:hint="eastAsia" w:ascii="仿宋_GB2312" w:eastAsia="仿宋_GB2312"/>
              </w:rPr>
              <w:t>知识产权成果1项，结合关键技术问题，提交一篇论文，发明专利或者软件著作权，至少1项。</w:t>
            </w:r>
          </w:p>
          <w:p w14:paraId="5B6A8839">
            <w:pPr>
              <w:overflowPunct w:val="0"/>
              <w:adjustRightInd w:val="0"/>
              <w:ind w:firstLine="482" w:firstLineChars="200"/>
              <w:rPr>
                <w:rFonts w:ascii="仿宋_GB2312" w:eastAsia="仿宋_GB2312"/>
                <w:b/>
              </w:rPr>
            </w:pPr>
            <w:r>
              <w:rPr>
                <w:rFonts w:hint="eastAsia" w:ascii="仿宋_GB2312" w:eastAsia="仿宋_GB2312"/>
                <w:b/>
              </w:rPr>
              <w:t>2</w:t>
            </w:r>
            <w:r>
              <w:rPr>
                <w:rFonts w:ascii="仿宋_GB2312" w:eastAsia="仿宋_GB2312"/>
                <w:b/>
              </w:rPr>
              <w:t>.</w:t>
            </w:r>
            <w:r>
              <w:rPr>
                <w:rFonts w:hint="eastAsia" w:ascii="仿宋_GB2312" w:eastAsia="仿宋_GB2312"/>
                <w:b/>
              </w:rPr>
              <w:t>作品提交时间</w:t>
            </w:r>
          </w:p>
          <w:p w14:paraId="20F8D10B">
            <w:pPr>
              <w:adjustRightInd w:val="0"/>
              <w:snapToGrid w:val="0"/>
              <w:ind w:firstLine="480" w:firstLineChars="200"/>
              <w:jc w:val="both"/>
              <w:rPr>
                <w:rFonts w:ascii="仿宋_GB2312" w:eastAsia="仿宋_GB2312"/>
              </w:rPr>
            </w:pPr>
            <w:r>
              <w:rPr>
                <w:rFonts w:ascii="仿宋_GB2312" w:eastAsia="仿宋_GB2312"/>
              </w:rPr>
              <w:t xml:space="preserve">2026 年 5 月-8 月，各高校组织学生参赛，安排专业人员给予指导，为参赛团队提供支持保障。 </w:t>
            </w:r>
          </w:p>
          <w:p w14:paraId="047860C7">
            <w:pPr>
              <w:adjustRightInd w:val="0"/>
              <w:snapToGrid w:val="0"/>
              <w:ind w:firstLine="480" w:firstLineChars="200"/>
              <w:jc w:val="both"/>
              <w:rPr>
                <w:rFonts w:ascii="仿宋_GB2312" w:eastAsia="仿宋_GB2312"/>
              </w:rPr>
            </w:pPr>
            <w:r>
              <w:rPr>
                <w:rFonts w:ascii="仿宋_GB2312" w:eastAsia="仿宋_GB2312"/>
              </w:rPr>
              <w:t xml:space="preserve">2026 年8月15 日前，各参赛团队通过大赛申报系统提交作品，具体要求详见作品提交方式。 </w:t>
            </w:r>
          </w:p>
          <w:p w14:paraId="1925543D">
            <w:pPr>
              <w:adjustRightInd w:val="0"/>
              <w:snapToGrid w:val="0"/>
              <w:ind w:firstLine="480" w:firstLineChars="200"/>
              <w:jc w:val="both"/>
              <w:rPr>
                <w:rFonts w:ascii="仿宋_GB2312" w:eastAsia="仿宋_GB2312"/>
              </w:rPr>
            </w:pPr>
            <w:r>
              <w:rPr>
                <w:rFonts w:ascii="仿宋_GB2312" w:eastAsia="仿宋_GB2312"/>
              </w:rPr>
              <w:t>2026 年 8 月底前，由大赛组委会会同发榜单位共同完成初审，确定入围终审擂台赛的晋级作品和团队。</w:t>
            </w:r>
          </w:p>
          <w:p w14:paraId="481D6680">
            <w:pPr>
              <w:adjustRightInd w:val="0"/>
              <w:snapToGrid w:val="0"/>
              <w:ind w:firstLine="480" w:firstLineChars="200"/>
              <w:jc w:val="both"/>
              <w:rPr>
                <w:rFonts w:ascii="仿宋_GB2312" w:eastAsia="仿宋_GB2312"/>
              </w:rPr>
            </w:pPr>
            <w:r>
              <w:rPr>
                <w:rFonts w:ascii="仿宋_GB2312" w:eastAsia="仿宋_GB2312"/>
              </w:rPr>
              <w:t>2026 年 9 月，发榜单位安排专门团队提供帮助和指导， 各晋级团队完善作品，冲刺攻关参加终审擂台赛，角逐“擂主”</w:t>
            </w:r>
            <w:r>
              <w:rPr>
                <w:rFonts w:hint="eastAsia" w:ascii="仿宋_GB2312" w:eastAsia="仿宋_GB2312"/>
              </w:rPr>
              <w:t>。</w:t>
            </w:r>
          </w:p>
          <w:p w14:paraId="2AF21B23">
            <w:pPr>
              <w:overflowPunct w:val="0"/>
              <w:adjustRightInd w:val="0"/>
              <w:ind w:firstLine="482" w:firstLineChars="200"/>
              <w:rPr>
                <w:rFonts w:ascii="仿宋_GB2312" w:eastAsia="仿宋_GB2312"/>
                <w:b/>
              </w:rPr>
            </w:pPr>
            <w:r>
              <w:rPr>
                <w:rFonts w:hint="eastAsia" w:ascii="仿宋_GB2312" w:eastAsia="仿宋_GB2312"/>
                <w:b/>
              </w:rPr>
              <w:t>3作品提交渠道</w:t>
            </w:r>
          </w:p>
          <w:p w14:paraId="2507D101">
            <w:pPr>
              <w:adjustRightInd w:val="0"/>
              <w:snapToGrid w:val="0"/>
              <w:ind w:firstLine="480" w:firstLineChars="200"/>
              <w:jc w:val="both"/>
              <w:rPr>
                <w:rFonts w:ascii="仿宋_GB2312" w:eastAsia="仿宋_GB2312"/>
              </w:rPr>
            </w:pPr>
            <w:r>
              <w:rPr>
                <w:rFonts w:hint="eastAsia" w:ascii="仿宋_GB2312" w:eastAsia="仿宋_GB2312"/>
              </w:rPr>
              <w:t>参赛团队申报作品统一打包压缩提交至大赛申报系统，压缩包命名方式为：申报人所在单位-申报人姓名-作品名称-联系电话（例如：XX 大学-张 XX-XX 方案-手机号）</w:t>
            </w:r>
          </w:p>
          <w:p w14:paraId="5B1919DF">
            <w:pPr>
              <w:adjustRightInd w:val="0"/>
              <w:snapToGrid w:val="0"/>
              <w:ind w:firstLine="480" w:firstLineChars="200"/>
              <w:jc w:val="both"/>
              <w:rPr>
                <w:rFonts w:ascii="仿宋_GB2312" w:hAnsi="仿宋_GB2312" w:eastAsia="仿宋_GB2312" w:cs="仿宋_GB2312"/>
                <w:color w:val="000000"/>
              </w:rPr>
            </w:pPr>
            <w:r>
              <w:rPr>
                <w:rFonts w:hint="eastAsia" w:ascii="仿宋_GB2312" w:eastAsia="仿宋_GB2312"/>
              </w:rPr>
              <w:t>如遇文件过大无法上传可另将无法上传文件刻录光盘并邮寄，邮寄地址：北京市海淀区学院南路7</w:t>
            </w:r>
            <w:r>
              <w:rPr>
                <w:rFonts w:ascii="仿宋_GB2312" w:eastAsia="仿宋_GB2312"/>
              </w:rPr>
              <w:t>0</w:t>
            </w:r>
            <w:r>
              <w:rPr>
                <w:rFonts w:hint="eastAsia" w:ascii="仿宋_GB2312" w:eastAsia="仿宋_GB2312"/>
              </w:rPr>
              <w:t>号 王老师收，电话：</w:t>
            </w:r>
            <w:r>
              <w:rPr>
                <w:rFonts w:ascii="仿宋_GB2312" w:eastAsia="仿宋_GB2312"/>
              </w:rPr>
              <w:t>15532016329</w:t>
            </w:r>
          </w:p>
        </w:tc>
      </w:tr>
      <w:tr w14:paraId="02CB3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7E9C8A">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00FEED18">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CBDC25">
            <w:pPr>
              <w:adjustRightInd w:val="0"/>
              <w:snapToGrid w:val="0"/>
              <w:ind w:firstLine="480" w:firstLineChars="200"/>
              <w:jc w:val="both"/>
              <w:rPr>
                <w:rFonts w:ascii="仿宋_GB2312" w:eastAsia="仿宋_GB2312"/>
              </w:rPr>
            </w:pPr>
            <w:r>
              <w:rPr>
                <w:rFonts w:hint="eastAsia" w:ascii="仿宋_GB2312" w:eastAsia="仿宋_GB2312"/>
              </w:rPr>
              <w:t>构建一套基于作业人员认知及行为融合的交互意图预测及智能推理模型，针对答题要求及提交形式，评委主要从作品的研究内容的覆盖性、功能完整性、过程丰富性、科学性、实用性等五个维度进行综合评价，各维度所占分值情况如下：</w:t>
            </w:r>
          </w:p>
          <w:p w14:paraId="28C95EB2">
            <w:pPr>
              <w:adjustRightInd w:val="0"/>
              <w:snapToGrid w:val="0"/>
              <w:ind w:firstLine="480" w:firstLineChars="200"/>
              <w:jc w:val="both"/>
              <w:rPr>
                <w:rFonts w:ascii="仿宋_GB2312" w:eastAsia="仿宋_GB2312"/>
              </w:rPr>
            </w:pPr>
            <w:r>
              <w:rPr>
                <w:rFonts w:hint="eastAsia" w:ascii="仿宋_GB2312" w:eastAsia="仿宋_GB2312"/>
              </w:rPr>
              <w:t>（1）研究报告所包含研究内容的覆盖性：</w:t>
            </w:r>
            <w:r>
              <w:rPr>
                <w:rFonts w:ascii="仿宋_GB2312" w:eastAsia="仿宋_GB2312"/>
              </w:rPr>
              <w:t>20</w:t>
            </w:r>
            <w:r>
              <w:rPr>
                <w:rFonts w:hint="eastAsia" w:ascii="仿宋_GB2312" w:eastAsia="仿宋_GB2312"/>
              </w:rPr>
              <w:t>分：</w:t>
            </w:r>
          </w:p>
          <w:p w14:paraId="504291D4">
            <w:pPr>
              <w:adjustRightInd w:val="0"/>
              <w:snapToGrid w:val="0"/>
              <w:ind w:firstLine="480" w:firstLineChars="200"/>
              <w:jc w:val="both"/>
              <w:rPr>
                <w:rFonts w:ascii="仿宋_GB2312" w:eastAsia="仿宋_GB2312"/>
              </w:rPr>
            </w:pPr>
            <w:r>
              <w:rPr>
                <w:rFonts w:hint="eastAsia" w:ascii="仿宋_GB2312" w:eastAsia="仿宋_GB2312"/>
              </w:rPr>
              <w:t>（</w:t>
            </w:r>
            <w:r>
              <w:rPr>
                <w:rFonts w:ascii="仿宋_GB2312" w:eastAsia="仿宋_GB2312"/>
              </w:rPr>
              <w:t>2</w:t>
            </w:r>
            <w:r>
              <w:rPr>
                <w:rFonts w:hint="eastAsia" w:ascii="仿宋_GB2312" w:eastAsia="仿宋_GB2312"/>
              </w:rPr>
              <w:t>）模型及软件功能实现完整性：</w:t>
            </w:r>
            <w:r>
              <w:rPr>
                <w:rFonts w:ascii="仿宋_GB2312" w:eastAsia="仿宋_GB2312"/>
              </w:rPr>
              <w:t>20</w:t>
            </w:r>
            <w:r>
              <w:rPr>
                <w:rFonts w:hint="eastAsia" w:ascii="仿宋_GB2312" w:eastAsia="仿宋_GB2312"/>
              </w:rPr>
              <w:t>分</w:t>
            </w:r>
          </w:p>
          <w:p w14:paraId="24E15094">
            <w:pPr>
              <w:adjustRightInd w:val="0"/>
              <w:snapToGrid w:val="0"/>
              <w:ind w:firstLine="480" w:firstLineChars="200"/>
              <w:jc w:val="both"/>
              <w:rPr>
                <w:rFonts w:ascii="仿宋_GB2312" w:eastAsia="仿宋_GB2312"/>
              </w:rPr>
            </w:pPr>
            <w:r>
              <w:rPr>
                <w:rFonts w:hint="eastAsia" w:ascii="仿宋_GB2312" w:eastAsia="仿宋_GB2312"/>
              </w:rPr>
              <w:t>（3）成果对研究过程展示丰富性：</w:t>
            </w:r>
            <w:r>
              <w:rPr>
                <w:rFonts w:ascii="仿宋_GB2312" w:eastAsia="仿宋_GB2312"/>
              </w:rPr>
              <w:t>20</w:t>
            </w:r>
            <w:r>
              <w:rPr>
                <w:rFonts w:hint="eastAsia" w:ascii="仿宋_GB2312" w:eastAsia="仿宋_GB2312"/>
              </w:rPr>
              <w:t>分</w:t>
            </w:r>
          </w:p>
          <w:p w14:paraId="72DCFA15">
            <w:pPr>
              <w:adjustRightInd w:val="0"/>
              <w:snapToGrid w:val="0"/>
              <w:ind w:firstLine="480" w:firstLineChars="200"/>
              <w:jc w:val="both"/>
              <w:rPr>
                <w:rFonts w:ascii="仿宋_GB2312" w:eastAsia="仿宋_GB2312"/>
              </w:rPr>
            </w:pPr>
            <w:r>
              <w:rPr>
                <w:rFonts w:hint="eastAsia" w:ascii="仿宋_GB2312" w:eastAsia="仿宋_GB2312"/>
              </w:rPr>
              <w:t>（4）模型构建及实验数据分析科学性：</w:t>
            </w:r>
            <w:r>
              <w:rPr>
                <w:rFonts w:ascii="仿宋_GB2312" w:eastAsia="仿宋_GB2312"/>
              </w:rPr>
              <w:t>20</w:t>
            </w:r>
            <w:r>
              <w:rPr>
                <w:rFonts w:hint="eastAsia" w:ascii="仿宋_GB2312" w:eastAsia="仿宋_GB2312"/>
              </w:rPr>
              <w:t>分</w:t>
            </w:r>
          </w:p>
          <w:p w14:paraId="1915D011">
            <w:pPr>
              <w:adjustRightInd w:val="0"/>
              <w:snapToGrid w:val="0"/>
              <w:ind w:firstLine="480" w:firstLineChars="200"/>
              <w:jc w:val="both"/>
              <w:rPr>
                <w:rFonts w:ascii="仿宋_GB2312" w:hAnsi="仿宋_GB2312" w:eastAsia="仿宋_GB2312" w:cs="仿宋_GB2312"/>
                <w:bCs/>
                <w:color w:val="000000"/>
                <w:spacing w:val="6"/>
                <w:szCs w:val="28"/>
              </w:rPr>
            </w:pPr>
            <w:r>
              <w:rPr>
                <w:rFonts w:hint="eastAsia" w:ascii="仿宋_GB2312" w:eastAsia="仿宋_GB2312"/>
              </w:rPr>
              <w:t>（5）成果对工程应用的可拓展和实用性：</w:t>
            </w:r>
            <w:r>
              <w:rPr>
                <w:rFonts w:ascii="仿宋_GB2312" w:eastAsia="仿宋_GB2312"/>
              </w:rPr>
              <w:t>20</w:t>
            </w:r>
            <w:r>
              <w:rPr>
                <w:rFonts w:hint="eastAsia" w:ascii="仿宋_GB2312" w:eastAsia="仿宋_GB2312"/>
              </w:rPr>
              <w:t>分</w:t>
            </w:r>
          </w:p>
        </w:tc>
      </w:tr>
      <w:tr w14:paraId="31CE3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BE6B076">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7231A5A">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7FE11F2B">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C4C91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313"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A897A1">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76C9C7">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参赛者可参观实验室，与单位负责人开展座谈调研，参与课题实习工作，参赛相关专业问题可配备专门指导人员定期解答或咨询专家指导团队。</w:t>
            </w:r>
          </w:p>
        </w:tc>
      </w:tr>
      <w:tr w14:paraId="7210B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327"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EE734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456183C">
            <w:pPr>
              <w:adjustRightInd w:val="0"/>
              <w:snapToGrid w:val="0"/>
              <w:ind w:firstLine="480" w:firstLineChars="200"/>
              <w:jc w:val="both"/>
              <w:rPr>
                <w:rFonts w:hint="eastAsia" w:ascii="仿宋_GB2312" w:eastAsia="仿宋_GB2312"/>
              </w:rPr>
            </w:pPr>
            <w:r>
              <w:rPr>
                <w:rFonts w:hint="eastAsia" w:ascii="仿宋_GB2312" w:eastAsia="仿宋_GB2312"/>
              </w:rPr>
              <w:t>一、奖项设置</w:t>
            </w:r>
          </w:p>
          <w:p w14:paraId="74785410">
            <w:pPr>
              <w:adjustRightInd w:val="0"/>
              <w:snapToGrid w:val="0"/>
              <w:ind w:firstLine="480" w:firstLineChars="200"/>
              <w:jc w:val="both"/>
              <w:rPr>
                <w:rFonts w:hint="eastAsia" w:ascii="仿宋_GB2312" w:eastAsia="仿宋_GB2312"/>
              </w:rPr>
            </w:pPr>
            <w:r>
              <w:rPr>
                <w:rFonts w:hint="eastAsia" w:ascii="仿宋_GB2312" w:eastAsia="仿宋_GB2312"/>
                <w:lang w:eastAsia="zh-CN"/>
              </w:rPr>
              <w:t>原则上设“擂主”团队1个，</w:t>
            </w:r>
            <w:r>
              <w:rPr>
                <w:rFonts w:hint="eastAsia" w:ascii="仿宋_GB2312" w:eastAsia="仿宋_GB2312"/>
              </w:rPr>
              <w:t>根据实际情况评出相应的特等奖、一等奖、二等奖、三等奖项目若干，为获奖者颁发获奖证书和相应奖品。</w:t>
            </w:r>
          </w:p>
          <w:p w14:paraId="467F7D4B">
            <w:pPr>
              <w:adjustRightInd w:val="0"/>
              <w:snapToGrid w:val="0"/>
              <w:ind w:firstLine="480" w:firstLineChars="200"/>
              <w:jc w:val="both"/>
              <w:rPr>
                <w:rFonts w:hint="eastAsia" w:ascii="仿宋_GB2312" w:eastAsia="仿宋_GB2312"/>
              </w:rPr>
            </w:pPr>
            <w:r>
              <w:rPr>
                <w:rFonts w:hint="eastAsia" w:ascii="仿宋_GB2312" w:eastAsia="仿宋_GB2312"/>
              </w:rPr>
              <w:t>二、激励措施</w:t>
            </w:r>
          </w:p>
          <w:p w14:paraId="0FEA9038">
            <w:pPr>
              <w:adjustRightInd w:val="0"/>
              <w:snapToGrid w:val="0"/>
              <w:ind w:firstLine="480" w:firstLineChars="200"/>
              <w:jc w:val="both"/>
              <w:rPr>
                <w:rFonts w:hint="eastAsia" w:ascii="仿宋_GB2312" w:eastAsia="仿宋_GB2312"/>
              </w:rPr>
            </w:pPr>
            <w:r>
              <w:rPr>
                <w:rFonts w:hint="eastAsia" w:ascii="仿宋_GB2312" w:eastAsia="仿宋_GB2312"/>
              </w:rPr>
              <w:t>1. 假期实习实践机会</w:t>
            </w:r>
          </w:p>
          <w:p w14:paraId="71A47721">
            <w:pPr>
              <w:adjustRightInd w:val="0"/>
              <w:snapToGrid w:val="0"/>
              <w:ind w:firstLine="480" w:firstLineChars="200"/>
              <w:jc w:val="both"/>
              <w:rPr>
                <w:rFonts w:hint="eastAsia" w:ascii="仿宋_GB2312" w:eastAsia="仿宋_GB2312"/>
              </w:rPr>
            </w:pPr>
            <w:r>
              <w:rPr>
                <w:rFonts w:hint="eastAsia" w:ascii="仿宋_GB2312" w:eastAsia="仿宋_GB2312"/>
              </w:rPr>
              <w:t>每名获奖选手可以来中国船舶集团有限公司综合技术经济研究院进行实践操作。</w:t>
            </w:r>
          </w:p>
          <w:p w14:paraId="710803E9">
            <w:pPr>
              <w:adjustRightInd w:val="0"/>
              <w:snapToGrid w:val="0"/>
              <w:ind w:firstLine="480" w:firstLineChars="200"/>
              <w:jc w:val="both"/>
              <w:rPr>
                <w:rFonts w:hint="eastAsia" w:ascii="仿宋_GB2312" w:eastAsia="仿宋_GB2312"/>
              </w:rPr>
            </w:pPr>
            <w:r>
              <w:rPr>
                <w:rFonts w:hint="eastAsia" w:ascii="仿宋_GB2312" w:eastAsia="仿宋_GB2312"/>
              </w:rPr>
              <w:t>2. 合作共赢</w:t>
            </w:r>
          </w:p>
          <w:p w14:paraId="3E2E122D">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ascii="仿宋_GB2312" w:eastAsia="仿宋_GB2312"/>
              </w:rPr>
              <w:t>若获奖团队的参赛方案可实际应用于产品开发，在无知识产权纠纷的前提下，将提供进一步合作开发机会。</w:t>
            </w:r>
          </w:p>
        </w:tc>
      </w:tr>
    </w:tbl>
    <w:p w14:paraId="7FF8DE38">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6610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3F15EC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6EB044">
            <w:pPr>
              <w:overflowPunct w:val="0"/>
              <w:adjustRightInd w:val="0"/>
              <w:snapToGrid w:val="0"/>
              <w:ind w:firstLine="480" w:firstLineChars="200"/>
              <w:rPr>
                <w:rFonts w:ascii="仿宋_GB2312" w:hAnsi="仿宋_GB2312" w:eastAsia="仿宋_GB2312" w:cs="仿宋_GB2312"/>
                <w:bCs/>
                <w:color w:val="000000"/>
                <w:spacing w:val="6"/>
                <w:szCs w:val="28"/>
              </w:rPr>
            </w:pPr>
            <w:r>
              <w:rPr>
                <w:rFonts w:ascii="仿宋_GB2312" w:eastAsia="仿宋_GB2312"/>
              </w:rPr>
              <w:t>本</w:t>
            </w:r>
            <w:r>
              <w:rPr>
                <w:rFonts w:hint="eastAsia" w:ascii="仿宋_GB2312" w:eastAsia="仿宋_GB2312"/>
              </w:rPr>
              <w:t>选题</w:t>
            </w:r>
            <w:r>
              <w:rPr>
                <w:rFonts w:ascii="仿宋_GB2312" w:eastAsia="仿宋_GB2312"/>
              </w:rPr>
              <w:t>以复杂任务执行需求为背景，</w:t>
            </w:r>
            <w:r>
              <w:rPr>
                <w:rFonts w:hint="eastAsia" w:ascii="仿宋_GB2312" w:eastAsia="仿宋_GB2312"/>
              </w:rPr>
              <w:t>智能系统在复杂系统操作任务中，系统越来越复杂，动态更新快，人员学习难度大，需要建立人与智能系统的双向理解需求。当前眼动交互模式以“刻意注视”眼动为主，但是这种方案面临着有意识指令凝视和无意识浏览凝视难以区分的问题，并且刻意控制眼球运动会带来认知和生理疲劳，且误触发率高，可能存在交互错误的风险。因此迫切需要尊重眼本身的感知功能，建立基于“自然行为”眼动及交互操作的研究，通过地从自然、嘈杂的多模态眼动及操作数据中推断用户的潜在意图。因此本课题通过建立面向新用户、新任务适配的交互式意图的智能推理应用方法</w:t>
            </w:r>
            <w:r>
              <w:rPr>
                <w:rFonts w:ascii="仿宋_GB2312" w:eastAsia="仿宋_GB2312"/>
              </w:rPr>
              <w:t>，从而</w:t>
            </w:r>
            <w:r>
              <w:rPr>
                <w:rFonts w:hint="eastAsia" w:ascii="仿宋_GB2312" w:eastAsia="仿宋_GB2312"/>
              </w:rPr>
              <w:t>为</w:t>
            </w:r>
            <w:r>
              <w:rPr>
                <w:rFonts w:ascii="仿宋_GB2312" w:eastAsia="仿宋_GB2312"/>
              </w:rPr>
              <w:t>辅助作业人员完成系统交互动作，以</w:t>
            </w:r>
            <w:r>
              <w:rPr>
                <w:rFonts w:hint="eastAsia" w:ascii="仿宋_GB2312" w:eastAsia="仿宋_GB2312"/>
              </w:rPr>
              <w:t>复杂智能系统的使用和新用户培训应用领域提供关键技术支撑</w:t>
            </w:r>
            <w:r>
              <w:rPr>
                <w:rFonts w:ascii="仿宋_GB2312" w:eastAsia="仿宋_GB2312"/>
              </w:rPr>
              <w:t>。</w:t>
            </w:r>
          </w:p>
        </w:tc>
      </w:tr>
      <w:tr w14:paraId="4BE003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1CC159">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A956A8">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eastAsia="仿宋_GB2312"/>
              </w:rPr>
              <w:t>预期将取得显著的综合效益。经济效益上，本课题技术能通过在装备系统、智能产品等复杂智能系统领域的应用，可以有助于提升人员培训和任务学习的效率，大幅降低成本，同时催生智能辅助软硬件等新产品。社会效益上，该技术可成为高危作业人员在复杂系统学习和使用方面提升辅助协作，增强安全保障。该成果将为智能制造提供关键的人机协同技术，推动 “智能化”与“人性化”融合的升级，有助于 “人机融合智能”等前沿领域技术，支撑复杂人机系统使用效能与安全的需求。</w:t>
            </w:r>
          </w:p>
        </w:tc>
      </w:tr>
    </w:tbl>
    <w:p w14:paraId="30ABAD0F">
      <w:pPr>
        <w:rPr>
          <w:rFonts w:hint="eastAsia" w:ascii="楷体_GB2312" w:hAnsi="楷体_GB2312" w:eastAsia="楷体_GB2312" w:cs="楷体_GB2312"/>
        </w:rPr>
      </w:pPr>
      <w:r>
        <w:rPr>
          <w:rFonts w:hint="eastAsia" w:ascii="楷体_GB2312" w:hAnsi="楷体_GB2312" w:eastAsia="楷体_GB2312" w:cs="楷体_GB2312"/>
        </w:rPr>
        <w:br w:type="page"/>
      </w:r>
    </w:p>
    <w:p w14:paraId="2ACE595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5DAF6DE2">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1</w:t>
      </w:r>
    </w:p>
    <w:p w14:paraId="19F93A49">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1C36463">
      <w:pPr>
        <w:tabs>
          <w:tab w:val="left" w:pos="8640"/>
        </w:tabs>
        <w:adjustRightInd w:val="0"/>
        <w:snapToGrid w:val="0"/>
        <w:spacing w:line="560" w:lineRule="exact"/>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7819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FAB68DB">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24AE15B6">
            <w:pPr>
              <w:adjustRightInd w:val="0"/>
              <w:snapToGrid w:val="0"/>
              <w:jc w:val="center"/>
              <w:rPr>
                <w:rFonts w:hint="eastAsia" w:ascii="仿宋_GB2312" w:hAnsi="仿宋_GB2312" w:eastAsia="仿宋_GB2312" w:cs="仿宋_GB2312"/>
              </w:rPr>
            </w:pPr>
            <w:r>
              <w:rPr>
                <w:rFonts w:hint="eastAsia" w:ascii="仿宋_GB2312" w:hAnsi="仿宋_GB2312" w:eastAsia="仿宋_GB2312" w:cs="仿宋_GB2312"/>
                <w:bCs/>
                <w:spacing w:val="6"/>
                <w:szCs w:val="28"/>
                <w:lang w:val="en-US"/>
              </w:rPr>
              <w:t>中粮营养健康研究院有限公司</w:t>
            </w:r>
          </w:p>
        </w:tc>
      </w:tr>
      <w:tr w14:paraId="655B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CAC3036">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5AE767B0">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中央企业</w:t>
            </w:r>
            <w:r>
              <w:rPr>
                <w:rFonts w:ascii="仿宋_GB2312" w:hAnsi="仿宋_GB2312" w:eastAsia="仿宋_GB2312" w:cs="仿宋_GB2312"/>
                <w:bCs/>
                <w:spacing w:val="6"/>
                <w:szCs w:val="28"/>
              </w:rPr>
              <w:t>（中央企业下属研究院）</w:t>
            </w:r>
          </w:p>
        </w:tc>
      </w:tr>
      <w:tr w14:paraId="693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1533D8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08F6DAA2">
            <w:pPr>
              <w:adjustRightInd w:val="0"/>
              <w:jc w:val="center"/>
              <w:rPr>
                <w:rFonts w:hint="eastAsia" w:ascii="仿宋_GB2312" w:hAnsi="仿宋_GB2312" w:eastAsia="仿宋_GB2312" w:cs="仿宋_GB2312"/>
              </w:rPr>
            </w:pPr>
            <w:r>
              <w:rPr>
                <w:rFonts w:ascii="仿宋_GB2312" w:hAnsi="仿宋_GB2312" w:eastAsia="仿宋_GB2312" w:cs="仿宋_GB2312"/>
              </w:rPr>
              <w:t>北京市昌平区北七家镇中粮营养健康研究院</w:t>
            </w:r>
          </w:p>
        </w:tc>
      </w:tr>
      <w:tr w14:paraId="7809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46DDCB06">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18BDBD34">
            <w:pPr>
              <w:adjustRightInd w:val="0"/>
              <w:snapToGrid w:val="0"/>
              <w:jc w:val="left"/>
              <w:rPr>
                <w:rFonts w:hint="eastAsia" w:ascii="仿宋_GB2312" w:hAnsi="仿宋_GB2312" w:eastAsia="仿宋_GB2312" w:cs="仿宋_GB2312"/>
                <w:bCs/>
                <w:spacing w:val="6"/>
                <w:szCs w:val="28"/>
                <w:highlight w:val="yellow"/>
              </w:rPr>
            </w:pPr>
            <w:r>
              <w:rPr>
                <w:rFonts w:hint="eastAsia" w:ascii="仿宋_GB2312" w:hAnsi="仿宋_GB2312" w:eastAsia="仿宋_GB2312" w:cs="仿宋_GB2312"/>
                <w:bCs/>
                <w:spacing w:val="6"/>
                <w:szCs w:val="28"/>
                <w:lang w:val="en-US"/>
              </w:rPr>
              <w:t>中粮营养健康研究院是中粮集团的核心研发机构，致力于食品营养、健康产品开发与产业化研究。研究院拥有国家级科研平台，聚焦粮油加工、功能性食品、精准营养等领域，推动“健康中国”战略落地。中粮营养健康研究院先后荣获国家专利金奖1项，国家科学技术进步奖2项，省部级奖项200余项。“十四五”期间，牵头或参与国家重点研发计划项目8项，目前拥有国家级平台13个、省部级平台15个，发挥国家粮油食品科技战略执行主体作用。</w:t>
            </w:r>
          </w:p>
        </w:tc>
      </w:tr>
      <w:tr w14:paraId="13EF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37B974CF">
            <w:pPr>
              <w:adjustRightInd w:val="0"/>
              <w:snapToGrid w:val="0"/>
              <w:jc w:val="center"/>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0516810F">
            <w:pPr>
              <w:adjustRightInd w:val="0"/>
              <w:jc w:val="center"/>
              <w:rPr>
                <w:rFonts w:hint="eastAsia"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郇美丽</w:t>
            </w:r>
          </w:p>
        </w:tc>
        <w:tc>
          <w:tcPr>
            <w:tcW w:w="1073" w:type="dxa"/>
            <w:vAlign w:val="center"/>
          </w:tcPr>
          <w:p w14:paraId="59E7AA06">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7EBD9323">
            <w:pPr>
              <w:adjustRightInd w:val="0"/>
              <w:jc w:val="center"/>
              <w:rPr>
                <w:rFonts w:hint="default" w:eastAsia="方正仿宋简体"/>
                <w:highlight w:val="yellow"/>
                <w:lang w:val="en-US" w:eastAsia="zh-CN"/>
              </w:rPr>
            </w:pPr>
            <w:r>
              <w:rPr>
                <w:rFonts w:hint="eastAsia" w:ascii="仿宋_GB2312" w:hAnsi="仿宋_GB2312" w:eastAsia="仿宋_GB2312" w:cs="仿宋_GB2312"/>
                <w:bCs/>
                <w:spacing w:val="6"/>
                <w:szCs w:val="28"/>
                <w:lang w:val="en-US" w:eastAsia="zh-CN"/>
              </w:rPr>
              <w:t>产品开发资深经理</w:t>
            </w:r>
          </w:p>
        </w:tc>
      </w:tr>
      <w:tr w14:paraId="0257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AEC8D91">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16F58F89">
            <w:pPr>
              <w:adjustRightInd w:val="0"/>
              <w:jc w:val="center"/>
              <w:rPr>
                <w:rFonts w:hint="default" w:ascii="仿宋_GB2312" w:hAnsi="仿宋_GB2312" w:eastAsia="仿宋_GB2312" w:cs="仿宋_GB2312"/>
                <w:bCs/>
                <w:spacing w:val="6"/>
                <w:szCs w:val="28"/>
                <w:lang w:val="en-US" w:eastAsia="zh-CN"/>
              </w:rPr>
            </w:pPr>
            <w:r>
              <w:rPr>
                <w:rFonts w:hint="eastAsia" w:ascii="仿宋_GB2312" w:hAnsi="仿宋_GB2312" w:eastAsia="仿宋_GB2312" w:cs="仿宋_GB2312"/>
                <w:bCs/>
                <w:spacing w:val="6"/>
                <w:szCs w:val="28"/>
                <w:lang w:val="en-US" w:eastAsia="zh-CN"/>
              </w:rPr>
              <w:t>13810901425</w:t>
            </w:r>
          </w:p>
        </w:tc>
        <w:tc>
          <w:tcPr>
            <w:tcW w:w="1073" w:type="dxa"/>
            <w:vAlign w:val="center"/>
          </w:tcPr>
          <w:p w14:paraId="1555F918">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2BBF9109">
            <w:pPr>
              <w:adjustRightInd w:val="0"/>
              <w:jc w:val="center"/>
              <w:rPr>
                <w:rFonts w:hint="default" w:eastAsia="方正仿宋简体"/>
                <w:highlight w:val="yellow"/>
                <w:lang w:val="en-US" w:eastAsia="zh-CN"/>
              </w:rPr>
            </w:pPr>
            <w:r>
              <w:rPr>
                <w:rFonts w:hint="eastAsia" w:ascii="仿宋_GB2312" w:hAnsi="仿宋_GB2312" w:eastAsia="仿宋_GB2312" w:cs="仿宋_GB2312"/>
                <w:bCs/>
                <w:spacing w:val="6"/>
                <w:szCs w:val="28"/>
                <w:lang w:val="en-US" w:eastAsia="zh-CN"/>
              </w:rPr>
              <w:t>13810901425</w:t>
            </w:r>
          </w:p>
        </w:tc>
      </w:tr>
    </w:tbl>
    <w:p w14:paraId="609561D8">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C5E4D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1647BD">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CF3723C">
            <w:pPr>
              <w:adjustRightInd w:val="0"/>
              <w:snapToGrid w:val="0"/>
              <w:jc w:val="center"/>
              <w:rPr>
                <w:rFonts w:hint="eastAsia" w:ascii="仿宋_GB2312" w:hAnsi="仿宋_GB2312" w:eastAsia="仿宋_GB2312" w:cs="仿宋_GB2312"/>
                <w:color w:val="000000"/>
              </w:rPr>
            </w:pPr>
            <w:r>
              <w:rPr>
                <w:rFonts w:ascii="仿宋_GB2312" w:hAnsi="仿宋_GB2312" w:eastAsia="仿宋_GB2312" w:cs="仿宋_GB2312"/>
                <w:b/>
                <w:bCs/>
                <w:color w:val="000000"/>
                <w:spacing w:val="6"/>
                <w:szCs w:val="28"/>
              </w:rPr>
              <w:t>主食产品</w:t>
            </w:r>
            <w:r>
              <w:rPr>
                <w:rFonts w:hint="eastAsia" w:ascii="仿宋_GB2312" w:hAnsi="仿宋_GB2312" w:eastAsia="仿宋_GB2312" w:cs="仿宋_GB2312"/>
                <w:b/>
                <w:bCs/>
                <w:color w:val="000000"/>
                <w:spacing w:val="6"/>
                <w:szCs w:val="28"/>
                <w:lang w:val="en-US" w:eastAsia="zh-CN"/>
              </w:rPr>
              <w:t>血糖调控健康解决方案：全谷物与植物蛋白协同技术及产品开发</w:t>
            </w:r>
          </w:p>
        </w:tc>
      </w:tr>
      <w:tr w14:paraId="3D2C0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6F7C3">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801FEF">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营养健康、食品科学、生物医药</w:t>
            </w:r>
            <w:r>
              <w:rPr>
                <w:rFonts w:hint="eastAsia" w:ascii="仿宋_GB2312" w:hAnsi="仿宋_GB2312" w:eastAsia="仿宋_GB2312" w:cs="仿宋_GB2312"/>
                <w:bCs/>
                <w:color w:val="000000"/>
                <w:spacing w:val="6"/>
                <w:szCs w:val="28"/>
                <w:lang w:val="en-US"/>
              </w:rPr>
              <w:t>。</w:t>
            </w:r>
          </w:p>
        </w:tc>
      </w:tr>
      <w:tr w14:paraId="2E548F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FC259B">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81F52A">
            <w:pPr>
              <w:adjustRightInd w:val="0"/>
              <w:snapToGrid w:val="0"/>
              <w:ind w:firstLine="504" w:firstLineChars="200"/>
              <w:jc w:val="both"/>
              <w:rPr>
                <w:rFonts w:hint="eastAsia" w:ascii="仿宋_GB2312" w:hAnsi="仿宋_GB2312" w:eastAsia="仿宋_GB2312" w:cs="仿宋_GB2312"/>
                <w:bCs/>
                <w:color w:val="FF0000"/>
                <w:spacing w:val="6"/>
                <w:szCs w:val="28"/>
                <w:lang w:val="en-US"/>
              </w:rPr>
            </w:pPr>
            <w:r>
              <w:rPr>
                <w:rFonts w:hint="eastAsia" w:ascii="仿宋_GB2312" w:hAnsi="仿宋_GB2312" w:eastAsia="仿宋_GB2312" w:cs="仿宋_GB2312"/>
                <w:bCs/>
                <w:color w:val="000000"/>
                <w:spacing w:val="6"/>
                <w:szCs w:val="28"/>
                <w:lang w:val="en-US" w:eastAsia="zh-CN"/>
              </w:rPr>
              <w:t>我国糖尿病患者人数逐年上升，根据中国疾病预防控制中心慢病中心的研究报告我国糖尿病人数已达2.33亿</w:t>
            </w:r>
            <w:r>
              <w:rPr>
                <w:rFonts w:ascii="仿宋_GB2312" w:hAnsi="仿宋_GB2312" w:eastAsia="仿宋_GB2312" w:cs="仿宋_GB2312"/>
                <w:bCs/>
                <w:color w:val="000000"/>
                <w:spacing w:val="6"/>
                <w:szCs w:val="28"/>
              </w:rPr>
              <w:t>，践行合理膳食和积极运动是预防和控制糖尿病发生、发展的有效手段。控糖主食存在“高GI、营养失衡、口感差”三大痛点。本项目要求利用大豆蛋白、小麦蛋白等植物蛋白原料，结合</w:t>
            </w:r>
            <w:r>
              <w:rPr>
                <w:rFonts w:hint="eastAsia" w:ascii="仿宋_GB2312" w:hAnsi="仿宋_GB2312" w:eastAsia="仿宋_GB2312" w:cs="仿宋_GB2312"/>
                <w:bCs/>
                <w:color w:val="000000"/>
                <w:spacing w:val="6"/>
                <w:szCs w:val="28"/>
              </w:rPr>
              <w:t>蛋白改性</w:t>
            </w:r>
            <w:r>
              <w:rPr>
                <w:rFonts w:ascii="仿宋_GB2312" w:hAnsi="仿宋_GB2312" w:eastAsia="仿宋_GB2312" w:cs="仿宋_GB2312"/>
                <w:bCs/>
                <w:color w:val="000000"/>
                <w:spacing w:val="6"/>
                <w:szCs w:val="28"/>
              </w:rPr>
              <w:t>加工技术，开发低血糖生成指数（GI≤55）的面包、面条、蛋糕等主食产品。需突破无面粉体系下的成型、发酵与质构优化技术，实现中试以上规模生产。产品需具备明确的控糖功能验证（细胞、动物实验），并设计适用于高血糖人群的精准营养方案，推动首都慢病防控从治疗向预防转型。</w:t>
            </w:r>
          </w:p>
        </w:tc>
      </w:tr>
      <w:tr w14:paraId="089BCC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3FFF9DC">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187455">
            <w:pPr>
              <w:adjustRightInd w:val="0"/>
              <w:snapToGrid w:val="0"/>
              <w:ind w:firstLine="504" w:firstLineChars="200"/>
              <w:jc w:val="both"/>
              <w:rPr>
                <w:rFonts w:hint="eastAsia" w:ascii="仿宋_GB2312" w:hAnsi="仿宋_GB2312" w:eastAsia="仿宋_GB2312" w:cs="仿宋_GB2312"/>
                <w:color w:val="FF0000"/>
              </w:rPr>
            </w:pPr>
            <w:r>
              <w:rPr>
                <w:rFonts w:ascii="仿宋_GB2312" w:hAnsi="仿宋_GB2312" w:eastAsia="仿宋_GB2312" w:cs="仿宋_GB2312"/>
                <w:bCs/>
                <w:color w:val="000000"/>
                <w:spacing w:val="6"/>
                <w:szCs w:val="28"/>
              </w:rPr>
              <w:t>提交完整的商业计划书，包含：技术路线图、中试工艺方案、产品原型、细胞/动物功能实验数据、GI</w:t>
            </w:r>
            <w:r>
              <w:rPr>
                <w:rFonts w:hint="eastAsia" w:ascii="仿宋_GB2312" w:hAnsi="仿宋_GB2312" w:eastAsia="仿宋_GB2312" w:cs="仿宋_GB2312"/>
                <w:bCs/>
                <w:color w:val="000000"/>
                <w:spacing w:val="6"/>
                <w:szCs w:val="28"/>
              </w:rPr>
              <w:t>分析</w:t>
            </w:r>
            <w:r>
              <w:rPr>
                <w:rFonts w:ascii="仿宋_GB2312" w:hAnsi="仿宋_GB2312" w:eastAsia="仿宋_GB2312" w:cs="仿宋_GB2312"/>
                <w:bCs/>
                <w:color w:val="000000"/>
                <w:spacing w:val="6"/>
                <w:szCs w:val="28"/>
              </w:rPr>
              <w:t>报告、市场分析与商业模式、团队组成与分工。方案需具备可落地性和创新性。</w:t>
            </w:r>
          </w:p>
        </w:tc>
      </w:tr>
      <w:tr w14:paraId="59118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AE11E5">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45C462C">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6C24D0">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1. 技术可行性（30%）：工艺是否通过中试验证；</w:t>
            </w:r>
          </w:p>
          <w:p w14:paraId="5064FAAE">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 功能有效性（30%）：是否有细胞、动物、人群实验数据支持；</w:t>
            </w:r>
          </w:p>
          <w:p w14:paraId="793F200E">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3. 产品创新性（20%）：是否突破现有技术瓶颈；</w:t>
            </w:r>
          </w:p>
          <w:p w14:paraId="176FDAD6">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ascii="仿宋_GB2312" w:hAnsi="仿宋_GB2312" w:eastAsia="仿宋_GB2312" w:cs="仿宋_GB2312"/>
                <w:bCs/>
                <w:color w:val="000000"/>
                <w:spacing w:val="6"/>
                <w:szCs w:val="28"/>
              </w:rPr>
              <w:t>4. 商业价值（20%）：市场定位、商业模式、社会效益是否清晰。</w:t>
            </w:r>
          </w:p>
        </w:tc>
      </w:tr>
      <w:tr w14:paraId="01906C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BB155E">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3F53558">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rPr>
              <w:t>鼓励跨学科融合。</w:t>
            </w:r>
          </w:p>
        </w:tc>
      </w:tr>
    </w:tbl>
    <w:p w14:paraId="7732469A">
      <w:pPr>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2A0CE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8ED992">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B750F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提供公司实验室参观机会；</w:t>
            </w:r>
          </w:p>
          <w:p w14:paraId="1BAA6AE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 提供植物蛋白原料；</w:t>
            </w:r>
          </w:p>
          <w:p w14:paraId="7ED404C8">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3. 产品的评价指导，全程跟进项目进展；</w:t>
            </w:r>
          </w:p>
        </w:tc>
      </w:tr>
      <w:tr w14:paraId="7F3384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62A0742">
            <w:pPr>
              <w:adjustRightInd w:val="0"/>
              <w:snapToGrid w:val="0"/>
              <w:spacing w:line="560" w:lineRule="exact"/>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215C2">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18297049">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96DEE64">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6CCAEB3F">
            <w:pPr>
              <w:adjustRightInd w:val="0"/>
              <w:snapToGrid w:val="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本赛题将结合项目实际情况给予入选项目相应资金奖励。</w:t>
            </w:r>
          </w:p>
        </w:tc>
      </w:tr>
    </w:tbl>
    <w:p w14:paraId="4F68B888">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75FF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274A29D">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E36047">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lang w:val="en-US"/>
              </w:rPr>
              <w:t>突破传统主食高GI、低蛋白的技术瓶颈，推动植物蛋白加工技术在功能性主食中的应用，为我国慢病防控提供食品科技支撑。</w:t>
            </w:r>
          </w:p>
        </w:tc>
      </w:tr>
      <w:tr w14:paraId="2D4C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EFB619">
            <w:pPr>
              <w:overflowPunct w:val="0"/>
              <w:adjustRightInd w:val="0"/>
              <w:snapToGrid w:val="0"/>
              <w:ind w:firstLine="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8F13E">
            <w:pPr>
              <w:adjustRightInd w:val="0"/>
              <w:snapToGrid w:val="0"/>
              <w:ind w:firstLine="504" w:firstLineChars="200"/>
              <w:jc w:val="both"/>
              <w:rPr>
                <w:rFonts w:hint="eastAsia" w:ascii="仿宋_GB2312" w:hAnsi="仿宋_GB2312" w:eastAsia="仿宋_GB2312" w:cs="仿宋_GB2312"/>
                <w:bCs/>
                <w:color w:val="FF0000"/>
                <w:spacing w:val="6"/>
                <w:szCs w:val="28"/>
              </w:rPr>
            </w:pPr>
            <w:r>
              <w:rPr>
                <w:rFonts w:hint="eastAsia" w:ascii="仿宋_GB2312" w:hAnsi="仿宋_GB2312" w:eastAsia="仿宋_GB2312" w:cs="仿宋_GB2312"/>
                <w:bCs/>
                <w:color w:val="000000"/>
                <w:spacing w:val="6"/>
                <w:szCs w:val="28"/>
                <w:lang w:val="en-US"/>
              </w:rPr>
              <w:t>项目成果可转化为适用于高血糖人群的控糖主食产品，降低医疗支出，提升居民生活质量。同时带动大豆、小麦等农产品的深加工产业链升级，助力“健康北京”建设。</w:t>
            </w:r>
          </w:p>
        </w:tc>
      </w:tr>
    </w:tbl>
    <w:p w14:paraId="7DE55991">
      <w:pPr>
        <w:rPr>
          <w:rFonts w:hint="eastAsia" w:ascii="楷体_GB2312" w:hAnsi="楷体_GB2312" w:eastAsia="楷体_GB2312" w:cs="楷体_GB2312"/>
        </w:rPr>
      </w:pPr>
      <w:r>
        <w:rPr>
          <w:rFonts w:hint="eastAsia" w:ascii="楷体_GB2312" w:hAnsi="楷体_GB2312" w:eastAsia="楷体_GB2312" w:cs="楷体_GB2312"/>
        </w:rPr>
        <w:br w:type="page"/>
      </w:r>
    </w:p>
    <w:p w14:paraId="2B403365">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9339856">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2</w:t>
      </w:r>
    </w:p>
    <w:p w14:paraId="4D7ADBF6">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0F2755A">
      <w:pPr>
        <w:tabs>
          <w:tab w:val="left" w:pos="8640"/>
        </w:tabs>
        <w:adjustRightInd w:val="0"/>
        <w:snapToGrid w:val="0"/>
        <w:spacing w:line="56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3179"/>
        <w:gridCol w:w="1073"/>
        <w:gridCol w:w="2783"/>
      </w:tblGrid>
      <w:tr w14:paraId="052A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5" w:type="dxa"/>
            <w:vAlign w:val="center"/>
          </w:tcPr>
          <w:p w14:paraId="4E0E6C2A">
            <w:pPr>
              <w:ind w:firstLine="0" w:firstLineChars="0"/>
              <w:jc w:val="center"/>
              <w:rPr>
                <w:rFonts w:eastAsia="楷体_GB2312"/>
              </w:rPr>
            </w:pPr>
            <w:r>
              <w:rPr>
                <w:rFonts w:hint="eastAsia" w:ascii="楷体_GB2312" w:hAnsi="楷体_GB2312" w:eastAsia="楷体_GB2312" w:cs="楷体_GB2312"/>
                <w:sz w:val="28"/>
                <w:szCs w:val="32"/>
                <w:lang w:val="en-US"/>
              </w:rPr>
              <w:t>单位名称</w:t>
            </w:r>
          </w:p>
        </w:tc>
        <w:tc>
          <w:tcPr>
            <w:tcW w:w="7035" w:type="dxa"/>
            <w:gridSpan w:val="3"/>
            <w:vAlign w:val="center"/>
          </w:tcPr>
          <w:p w14:paraId="36499761">
            <w:pPr>
              <w:ind w:left="0" w:leftChars="0" w:firstLine="0" w:firstLineChars="0"/>
              <w:jc w:val="center"/>
              <w:rPr>
                <w:rFonts w:eastAsia="仿宋_GB2312"/>
                <w:lang w:val="en-US"/>
              </w:rPr>
            </w:pPr>
            <w:r>
              <w:rPr>
                <w:rFonts w:hint="eastAsia" w:eastAsia="仿宋_GB2312"/>
                <w:lang w:val="en-US"/>
              </w:rPr>
              <w:t>北京航天斯达科技有限公司</w:t>
            </w:r>
          </w:p>
        </w:tc>
      </w:tr>
      <w:tr w14:paraId="1152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65" w:type="dxa"/>
            <w:vAlign w:val="center"/>
          </w:tcPr>
          <w:p w14:paraId="5D64A48D">
            <w:pPr>
              <w:ind w:firstLine="0" w:firstLineChars="0"/>
              <w:jc w:val="center"/>
              <w:rPr>
                <w:rFonts w:eastAsia="楷体_GB2312"/>
                <w:bCs/>
                <w:spacing w:val="6"/>
                <w:szCs w:val="28"/>
                <w:lang w:val="en-US"/>
              </w:rPr>
            </w:pPr>
            <w:r>
              <w:rPr>
                <w:rFonts w:hint="eastAsia" w:ascii="楷体_GB2312" w:hAnsi="楷体_GB2312" w:eastAsia="楷体_GB2312" w:cs="楷体_GB2312"/>
                <w:sz w:val="28"/>
                <w:szCs w:val="32"/>
                <w:lang w:val="en-US"/>
              </w:rPr>
              <w:t>单位类型</w:t>
            </w:r>
          </w:p>
        </w:tc>
        <w:tc>
          <w:tcPr>
            <w:tcW w:w="7035" w:type="dxa"/>
            <w:gridSpan w:val="3"/>
            <w:vAlign w:val="center"/>
          </w:tcPr>
          <w:p w14:paraId="316B84F2">
            <w:pPr>
              <w:ind w:left="0" w:leftChars="0" w:firstLine="0" w:firstLineChars="0"/>
              <w:jc w:val="center"/>
              <w:rPr>
                <w:rFonts w:eastAsia="仿宋_GB2312"/>
                <w:lang w:val="en-US"/>
              </w:rPr>
            </w:pPr>
            <w:r>
              <w:rPr>
                <w:rFonts w:hint="eastAsia" w:eastAsia="仿宋_GB2312"/>
                <w:lang w:val="en-US"/>
              </w:rPr>
              <w:t>国有控股企业</w:t>
            </w:r>
          </w:p>
        </w:tc>
      </w:tr>
      <w:tr w14:paraId="08D6F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5" w:type="dxa"/>
            <w:vAlign w:val="center"/>
          </w:tcPr>
          <w:p w14:paraId="2CA2481A">
            <w:pPr>
              <w:ind w:firstLine="0" w:firstLineChars="0"/>
              <w:jc w:val="center"/>
              <w:rPr>
                <w:rFonts w:eastAsia="楷体_GB2312"/>
              </w:rPr>
            </w:pPr>
            <w:r>
              <w:rPr>
                <w:rFonts w:hint="eastAsia" w:ascii="楷体_GB2312" w:hAnsi="楷体_GB2312" w:eastAsia="楷体_GB2312" w:cs="楷体_GB2312"/>
                <w:sz w:val="28"/>
                <w:szCs w:val="32"/>
                <w:lang w:val="en-US"/>
              </w:rPr>
              <w:t>地址</w:t>
            </w:r>
          </w:p>
        </w:tc>
        <w:tc>
          <w:tcPr>
            <w:tcW w:w="7035" w:type="dxa"/>
            <w:gridSpan w:val="3"/>
            <w:vAlign w:val="center"/>
          </w:tcPr>
          <w:p w14:paraId="15E59D41">
            <w:pPr>
              <w:ind w:left="0" w:leftChars="0" w:firstLine="0" w:firstLineChars="0"/>
              <w:jc w:val="center"/>
              <w:rPr>
                <w:rFonts w:eastAsia="仿宋_GB2312"/>
                <w:lang w:val="en-US"/>
              </w:rPr>
            </w:pPr>
            <w:r>
              <w:rPr>
                <w:rFonts w:hint="eastAsia" w:eastAsia="仿宋_GB2312"/>
                <w:lang w:val="en-US"/>
              </w:rPr>
              <w:t>北京市北京经济技术开发区（大兴）瀛吉街11号院3号楼10层1001室</w:t>
            </w:r>
          </w:p>
        </w:tc>
      </w:tr>
      <w:tr w14:paraId="7938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565" w:type="dxa"/>
            <w:vAlign w:val="center"/>
          </w:tcPr>
          <w:p w14:paraId="0938C551">
            <w:pPr>
              <w:ind w:firstLine="0" w:firstLineChars="0"/>
              <w:jc w:val="center"/>
              <w:rPr>
                <w:rFonts w:eastAsia="楷体_GB2312"/>
              </w:rPr>
            </w:pPr>
            <w:r>
              <w:rPr>
                <w:rFonts w:hint="eastAsia" w:ascii="楷体_GB2312" w:hAnsi="楷体_GB2312" w:eastAsia="楷体_GB2312" w:cs="楷体_GB2312"/>
                <w:sz w:val="28"/>
                <w:szCs w:val="32"/>
                <w:lang w:val="en-US"/>
              </w:rPr>
              <w:t>单位简介</w:t>
            </w:r>
          </w:p>
        </w:tc>
        <w:tc>
          <w:tcPr>
            <w:tcW w:w="7035" w:type="dxa"/>
            <w:gridSpan w:val="3"/>
            <w:vAlign w:val="center"/>
          </w:tcPr>
          <w:p w14:paraId="3D008BFD">
            <w:pPr>
              <w:rPr>
                <w:rFonts w:eastAsia="仿宋_GB2312"/>
                <w:lang w:val="en-US"/>
              </w:rPr>
            </w:pPr>
            <w:r>
              <w:rPr>
                <w:rFonts w:hint="eastAsia" w:eastAsia="仿宋_GB2312"/>
                <w:lang w:val="en-US"/>
              </w:rPr>
              <w:t>北京航天斯达科技有限公司成立于1992年7月，注册资金5033万元，是中国航天科技集团有限公司第一研究院第七〇二研究所下属单位。公司目前在职员工1</w:t>
            </w:r>
            <w:r>
              <w:rPr>
                <w:rFonts w:hint="eastAsia" w:eastAsia="仿宋_GB2312"/>
                <w:lang w:val="en-US" w:eastAsia="zh-CN"/>
              </w:rPr>
              <w:t>58</w:t>
            </w:r>
            <w:r>
              <w:rPr>
                <w:rFonts w:hint="eastAsia" w:eastAsia="仿宋_GB2312"/>
                <w:lang w:val="en-US"/>
              </w:rPr>
              <w:t>人，其中博士2人，本科及以上学历115人；研究员</w:t>
            </w:r>
            <w:r>
              <w:rPr>
                <w:rFonts w:hint="eastAsia" w:eastAsia="仿宋_GB2312"/>
                <w:lang w:val="en-US" w:eastAsia="zh-CN"/>
              </w:rPr>
              <w:t>4</w:t>
            </w:r>
            <w:r>
              <w:rPr>
                <w:rFonts w:hint="eastAsia" w:eastAsia="仿宋_GB2312"/>
                <w:lang w:val="en-US"/>
              </w:rPr>
              <w:t>人，中级及以上职称</w:t>
            </w:r>
            <w:r>
              <w:rPr>
                <w:rFonts w:hint="eastAsia" w:eastAsia="仿宋_GB2312"/>
                <w:lang w:val="en-US" w:eastAsia="zh-CN"/>
              </w:rPr>
              <w:t>69</w:t>
            </w:r>
            <w:r>
              <w:rPr>
                <w:rFonts w:hint="eastAsia" w:eastAsia="仿宋_GB2312"/>
                <w:lang w:val="en-US"/>
              </w:rPr>
              <w:t>人，是一支专业能力过硬、素质全面的团队。</w:t>
            </w:r>
          </w:p>
          <w:p w14:paraId="590743DF">
            <w:pPr>
              <w:rPr>
                <w:rFonts w:eastAsia="仿宋_GB2312"/>
                <w:lang w:val="en-US"/>
              </w:rPr>
            </w:pPr>
            <w:r>
              <w:rPr>
                <w:rFonts w:hint="eastAsia" w:eastAsia="仿宋_GB2312"/>
                <w:lang w:val="en-US"/>
              </w:rPr>
              <w:t>公司主要从事智能装备、自动化产品线非标开发与工程数字化相关研究与技术研发，在军工复杂生产线及智能装备研发、工业智能、工程图纸数字化与知识工程等方向具有扎实研究基础和丰富应用经验。近年来承担多项国家级、省部级科研项目，在工程智能设计、智能制造等领域形成了一批具有自主知识产权的核心成果，具备良好的产学研协同创新条件。</w:t>
            </w:r>
          </w:p>
          <w:p w14:paraId="06C3AF7C">
            <w:pPr>
              <w:ind w:firstLine="482"/>
              <w:rPr>
                <w:rFonts w:eastAsia="仿宋_GB2312"/>
                <w:lang w:val="en-US"/>
              </w:rPr>
            </w:pPr>
            <w:r>
              <w:rPr>
                <w:rFonts w:hint="eastAsia" w:eastAsia="仿宋_GB2312"/>
                <w:b/>
                <w:lang w:val="en-US"/>
              </w:rPr>
              <w:t>公司于2024年成功入选国家工信部智能制造系统解决方案“揭榜挂帅”项目</w:t>
            </w:r>
            <w:r>
              <w:rPr>
                <w:rFonts w:hint="eastAsia" w:eastAsia="仿宋_GB2312"/>
                <w:lang w:val="en-US"/>
              </w:rPr>
              <w:t>，拥有国家级专精特新“小巨人”、国家高新技术企业、中关村高新技术企业、北京市专精特新中小企业、北京市企业技术中心、北京市设计创新中心、北京市企业科技研究开发机构、北京市高精尖产业设计中心、北京市智能制造关键技术装备供应商</w:t>
            </w:r>
            <w:r>
              <w:rPr>
                <w:rFonts w:hint="eastAsia" w:eastAsia="仿宋_GB2312"/>
                <w:lang w:val="en-US" w:eastAsia="zh-CN"/>
              </w:rPr>
              <w:t>、北京市知识产权优势单位</w:t>
            </w:r>
            <w:r>
              <w:rPr>
                <w:rFonts w:hint="eastAsia" w:eastAsia="仿宋_GB2312"/>
                <w:lang w:val="en-US"/>
              </w:rPr>
              <w:t>等多项荣誉资质；产品曾荣获纽伦堡国际发明展金奖、波兰发明协会创意产品奖、中国专利奖等国内外大奖。</w:t>
            </w:r>
          </w:p>
          <w:p w14:paraId="1AD382BE">
            <w:pPr>
              <w:rPr>
                <w:rFonts w:eastAsia="仿宋_GB2312"/>
                <w:lang w:val="en-US"/>
              </w:rPr>
            </w:pPr>
            <w:r>
              <w:rPr>
                <w:rFonts w:hint="eastAsia" w:eastAsia="仿宋_GB2312"/>
                <w:lang w:val="en-US"/>
              </w:rPr>
              <w:t>公司获批国家专利2</w:t>
            </w:r>
            <w:r>
              <w:rPr>
                <w:rFonts w:hint="eastAsia" w:eastAsia="仿宋_GB2312"/>
                <w:lang w:val="en-US" w:eastAsia="zh-CN"/>
              </w:rPr>
              <w:t>00余</w:t>
            </w:r>
            <w:r>
              <w:rPr>
                <w:rFonts w:hint="eastAsia" w:eastAsia="仿宋_GB2312"/>
                <w:lang w:val="en-US"/>
              </w:rPr>
              <w:t>项，其中发明专利</w:t>
            </w:r>
            <w:r>
              <w:rPr>
                <w:rFonts w:hint="eastAsia" w:eastAsia="仿宋_GB2312"/>
                <w:lang w:val="en-US" w:eastAsia="zh-CN"/>
              </w:rPr>
              <w:t>89</w:t>
            </w:r>
            <w:r>
              <w:rPr>
                <w:rFonts w:hint="eastAsia" w:eastAsia="仿宋_GB2312"/>
                <w:lang w:val="en-US"/>
              </w:rPr>
              <w:t>项，为航空、航天、船舶、兵器、铁路、风电、化纤、石油、化工、高等院校和科研院所提供了大量的高新技术设备和技术支持。重点客户包括航天科技集团、航天科工集团、中国印钞造币有限公司、中车集团、中国石油、中国石化、国家电网、华峰集团、韩国晓星集团、新乡化纤、华海集团、泰和新材、壳牌、道达尔、中能风电、沈飞集团等。</w:t>
            </w:r>
          </w:p>
        </w:tc>
      </w:tr>
      <w:tr w14:paraId="0750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65" w:type="dxa"/>
            <w:vAlign w:val="center"/>
          </w:tcPr>
          <w:p w14:paraId="5934A75E">
            <w:pPr>
              <w:ind w:firstLine="0" w:firstLineChars="0"/>
              <w:jc w:val="center"/>
              <w:rPr>
                <w:rFonts w:eastAsia="楷体_GB2312"/>
                <w:bCs/>
                <w:spacing w:val="6"/>
                <w:szCs w:val="28"/>
              </w:rPr>
            </w:pPr>
            <w:r>
              <w:rPr>
                <w:rFonts w:hint="eastAsia" w:ascii="楷体_GB2312" w:hAnsi="楷体_GB2312" w:eastAsia="楷体_GB2312" w:cs="楷体_GB2312"/>
                <w:sz w:val="28"/>
                <w:szCs w:val="32"/>
                <w:lang w:val="en-US"/>
              </w:rPr>
              <w:t>联系人</w:t>
            </w:r>
          </w:p>
        </w:tc>
        <w:tc>
          <w:tcPr>
            <w:tcW w:w="3179" w:type="dxa"/>
            <w:vAlign w:val="center"/>
          </w:tcPr>
          <w:p w14:paraId="3A4A889A">
            <w:pPr>
              <w:rPr>
                <w:rFonts w:eastAsia="仿宋_GB2312"/>
                <w:lang w:val="en-US"/>
              </w:rPr>
            </w:pPr>
            <w:r>
              <w:rPr>
                <w:rFonts w:hint="eastAsia" w:ascii="仿宋_GB2312" w:hAnsi="仿宋_GB2312" w:eastAsia="仿宋_GB2312" w:cs="仿宋_GB2312"/>
                <w:lang w:val="en-US"/>
              </w:rPr>
              <w:t>李文宇</w:t>
            </w:r>
          </w:p>
        </w:tc>
        <w:tc>
          <w:tcPr>
            <w:tcW w:w="1073" w:type="dxa"/>
            <w:vAlign w:val="center"/>
          </w:tcPr>
          <w:p w14:paraId="501C15CB">
            <w:pPr>
              <w:ind w:firstLine="0" w:firstLineChars="0"/>
              <w:jc w:val="center"/>
              <w:rPr>
                <w:rFonts w:eastAsia="楷体_GB2312"/>
              </w:rPr>
            </w:pPr>
            <w:r>
              <w:rPr>
                <w:rFonts w:hint="eastAsia" w:ascii="楷体_GB2312" w:hAnsi="楷体_GB2312" w:eastAsia="楷体_GB2312" w:cs="楷体_GB2312"/>
                <w:sz w:val="28"/>
                <w:szCs w:val="32"/>
                <w:lang w:val="en-US"/>
              </w:rPr>
              <w:t>职务</w:t>
            </w:r>
          </w:p>
        </w:tc>
        <w:tc>
          <w:tcPr>
            <w:tcW w:w="2783" w:type="dxa"/>
            <w:vAlign w:val="center"/>
          </w:tcPr>
          <w:p w14:paraId="29082CB9">
            <w:pPr>
              <w:ind w:firstLine="0" w:firstLineChars="0"/>
              <w:rPr>
                <w:rFonts w:hint="eastAsia" w:ascii="仿宋_GB2312" w:hAnsi="仿宋_GB2312" w:eastAsia="仿宋_GB2312" w:cs="仿宋_GB2312"/>
              </w:rPr>
            </w:pPr>
            <w:r>
              <w:rPr>
                <w:rFonts w:hint="eastAsia" w:ascii="仿宋_GB2312" w:hAnsi="仿宋_GB2312" w:eastAsia="仿宋_GB2312" w:cs="仿宋_GB2312"/>
                <w:lang w:val="en-US"/>
              </w:rPr>
              <w:t>副总经理兼技术总监</w:t>
            </w:r>
          </w:p>
        </w:tc>
      </w:tr>
      <w:tr w14:paraId="54DB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565" w:type="dxa"/>
            <w:vAlign w:val="center"/>
          </w:tcPr>
          <w:p w14:paraId="4F4A852A">
            <w:pPr>
              <w:ind w:firstLine="0" w:firstLineChars="0"/>
              <w:jc w:val="center"/>
              <w:rPr>
                <w:rFonts w:eastAsia="楷体_GB2312"/>
                <w:bCs/>
                <w:spacing w:val="6"/>
                <w:szCs w:val="28"/>
                <w:lang w:val="en-US"/>
              </w:rPr>
            </w:pPr>
            <w:r>
              <w:rPr>
                <w:rFonts w:hint="eastAsia" w:ascii="楷体_GB2312" w:hAnsi="楷体_GB2312" w:eastAsia="楷体_GB2312" w:cs="楷体_GB2312"/>
                <w:sz w:val="28"/>
                <w:szCs w:val="32"/>
                <w:lang w:val="en-US"/>
              </w:rPr>
              <w:t>联系方式</w:t>
            </w:r>
          </w:p>
        </w:tc>
        <w:tc>
          <w:tcPr>
            <w:tcW w:w="3179" w:type="dxa"/>
            <w:vAlign w:val="center"/>
          </w:tcPr>
          <w:p w14:paraId="116DBE4A">
            <w:pPr>
              <w:rPr>
                <w:rFonts w:eastAsia="仿宋_GB2312"/>
                <w:lang w:val="en-US"/>
              </w:rPr>
            </w:pPr>
            <w:r>
              <w:rPr>
                <w:rFonts w:hint="eastAsia" w:eastAsia="华文楷体"/>
                <w:lang w:val="en-US"/>
              </w:rPr>
              <w:t>13810960851</w:t>
            </w:r>
          </w:p>
        </w:tc>
        <w:tc>
          <w:tcPr>
            <w:tcW w:w="1073" w:type="dxa"/>
            <w:vAlign w:val="center"/>
          </w:tcPr>
          <w:p w14:paraId="4FB898C2">
            <w:pPr>
              <w:ind w:firstLine="0" w:firstLineChars="0"/>
              <w:jc w:val="center"/>
              <w:rPr>
                <w:rFonts w:eastAsia="楷体_GB2312"/>
              </w:rPr>
            </w:pPr>
            <w:r>
              <w:rPr>
                <w:rFonts w:hint="eastAsia" w:ascii="楷体_GB2312" w:hAnsi="楷体_GB2312" w:eastAsia="楷体_GB2312" w:cs="楷体_GB2312"/>
                <w:sz w:val="28"/>
                <w:szCs w:val="32"/>
                <w:lang w:val="en-US"/>
              </w:rPr>
              <w:t>微信</w:t>
            </w:r>
          </w:p>
        </w:tc>
        <w:tc>
          <w:tcPr>
            <w:tcW w:w="2783" w:type="dxa"/>
            <w:vAlign w:val="center"/>
          </w:tcPr>
          <w:p w14:paraId="0F9F674F">
            <w:pPr>
              <w:rPr>
                <w:rFonts w:eastAsia="方正仿宋简体"/>
              </w:rPr>
            </w:pPr>
            <w:r>
              <w:rPr>
                <w:rFonts w:hint="eastAsia" w:eastAsia="华文楷体"/>
                <w:lang w:val="en-US"/>
              </w:rPr>
              <w:t>13810960851</w:t>
            </w:r>
          </w:p>
        </w:tc>
      </w:tr>
    </w:tbl>
    <w:p w14:paraId="01020C06">
      <w:pPr>
        <w:tabs>
          <w:tab w:val="left" w:pos="8640"/>
        </w:tabs>
        <w:adjustRightInd w:val="0"/>
        <w:snapToGrid w:val="0"/>
        <w:spacing w:line="56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6A72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627"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331DBC">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18F3F9">
            <w:pPr>
              <w:ind w:left="0" w:leftChars="0" w:firstLine="0" w:firstLineChars="0"/>
              <w:jc w:val="center"/>
              <w:rPr>
                <w:rFonts w:eastAsia="仿宋_GB2312"/>
              </w:rPr>
            </w:pPr>
            <w:r>
              <w:rPr>
                <w:rFonts w:hint="eastAsia" w:eastAsia="仿宋_GB2312"/>
              </w:rPr>
              <w:t>基于多模态大模型的工程数字图纸智能管理系统</w:t>
            </w:r>
          </w:p>
        </w:tc>
      </w:tr>
      <w:tr w14:paraId="2D68B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4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7029B6">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676067">
            <w:pPr>
              <w:ind w:left="0" w:leftChars="0" w:firstLine="0" w:firstLineChars="0"/>
              <w:jc w:val="center"/>
              <w:rPr>
                <w:rFonts w:eastAsia="仿宋_GB2312"/>
              </w:rPr>
            </w:pPr>
            <w:r>
              <w:rPr>
                <w:rFonts w:hint="eastAsia" w:ascii="仿宋_GB2312" w:hAnsi="仿宋_GB2312" w:eastAsia="仿宋_GB2312" w:cs="仿宋_GB2312"/>
                <w:bCs/>
                <w:color w:val="000000"/>
                <w:spacing w:val="6"/>
                <w:szCs w:val="28"/>
              </w:rPr>
              <w:t>智能制造</w:t>
            </w:r>
          </w:p>
        </w:tc>
      </w:tr>
      <w:tr w14:paraId="2DA1B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AD4396">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A0C6AC5">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在新型工业化、制造强国和数字中国战略背景下，工程设计与制造全流程的数字化、智能化水平，已成为提升产业核心竞争力、推动制造业高质量发展的关键基础。当前工程数字图纸主要以</w:t>
            </w:r>
            <w:r>
              <w:rPr>
                <w:rFonts w:ascii="仿宋_GB2312" w:hAnsi="仿宋_GB2312" w:eastAsia="仿宋_GB2312" w:cs="仿宋_GB2312"/>
                <w:bCs/>
                <w:color w:val="000000"/>
                <w:spacing w:val="6"/>
                <w:szCs w:val="28"/>
                <w:lang w:val="en-US"/>
              </w:rPr>
              <w:t>PDF</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CAD</w:t>
            </w:r>
            <w:r>
              <w:rPr>
                <w:rFonts w:hint="eastAsia" w:ascii="仿宋_GB2312" w:hAnsi="仿宋_GB2312" w:eastAsia="仿宋_GB2312" w:cs="仿宋_GB2312"/>
                <w:bCs/>
                <w:color w:val="000000"/>
                <w:spacing w:val="6"/>
                <w:szCs w:val="28"/>
                <w:lang w:val="en-US"/>
              </w:rPr>
              <w:t>、扫描图像等多模态形式呈现，存在图纸理解高度依赖人工、信息检索效率低、设计知识复用难、版本变更难以追溯等问题，已成为制约工程领域数字化转型的现实瓶颈。随着多模态大语言模型、大数据与知识图谱技术的快速发展与深度融合，为工程数字图纸实现从“静态存储”向“智能理解与全生命周期关联管理”的跨越式升级，提供了坚实的技术支撑。</w:t>
            </w:r>
          </w:p>
          <w:p w14:paraId="2320F019">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本项目聚焦工程数字图纸智能理解与应用需求，研发基于多模态大模型的数字图纸智能管理系统。系统面向</w:t>
            </w:r>
            <w:r>
              <w:rPr>
                <w:rFonts w:ascii="仿宋_GB2312" w:hAnsi="仿宋_GB2312" w:eastAsia="仿宋_GB2312" w:cs="仿宋_GB2312"/>
                <w:bCs/>
                <w:color w:val="000000"/>
                <w:spacing w:val="6"/>
                <w:szCs w:val="28"/>
                <w:lang w:val="en-US"/>
              </w:rPr>
              <w:t>PDF</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CAD</w:t>
            </w:r>
            <w:r>
              <w:rPr>
                <w:rFonts w:hint="eastAsia" w:ascii="仿宋_GB2312" w:hAnsi="仿宋_GB2312" w:eastAsia="仿宋_GB2312" w:cs="仿宋_GB2312"/>
                <w:bCs/>
                <w:color w:val="000000"/>
                <w:spacing w:val="6"/>
                <w:szCs w:val="28"/>
                <w:lang w:val="en-US"/>
              </w:rPr>
              <w:t>、扫描图像等主流图纸数据格式，融合图像智能理解、文本语义分析与结构化知识建模能力，实现图纸内容自动解析、语义检索、自然语言交互、辅助审查、关键信息精准提取，以及跨图纸、跨版本的知识关联与变更追溯。项目成果将显著降低图纸人工整理与检索成本，全面提升图纸全生命周期管理效率与知识复用率，为工业数字化、智能化转型提供关键的智能化基础支撑。</w:t>
            </w:r>
          </w:p>
          <w:p w14:paraId="709F0878">
            <w:pPr>
              <w:ind w:firstLine="0" w:firstLineChars="0"/>
              <w:rPr>
                <w:rFonts w:eastAsia="仿宋_GB2312"/>
                <w:bCs/>
                <w:lang w:val="en-US"/>
              </w:rPr>
            </w:pPr>
          </w:p>
        </w:tc>
      </w:tr>
      <w:tr w14:paraId="2EED0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0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EF4DB0B">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EEF3CDD">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以个人或团队形式参赛均可，每个团队不超过</w:t>
            </w:r>
            <w:r>
              <w:rPr>
                <w:rFonts w:ascii="仿宋_GB2312" w:hAnsi="仿宋_GB2312" w:eastAsia="仿宋_GB2312" w:cs="仿宋_GB2312"/>
                <w:bCs/>
                <w:color w:val="000000"/>
                <w:spacing w:val="6"/>
                <w:szCs w:val="28"/>
                <w:lang w:val="en-US"/>
              </w:rPr>
              <w:t>10</w:t>
            </w:r>
            <w:r>
              <w:rPr>
                <w:rFonts w:hint="eastAsia" w:ascii="仿宋_GB2312" w:hAnsi="仿宋_GB2312" w:eastAsia="仿宋_GB2312" w:cs="仿宋_GB2312"/>
                <w:bCs/>
                <w:color w:val="000000"/>
                <w:spacing w:val="6"/>
                <w:szCs w:val="28"/>
                <w:lang w:val="en-US"/>
              </w:rPr>
              <w:t>人，提交作品方案一份。参赛团队需要设计并实现一个基于多模态大模型的工程数字图纸智能管理系统，</w:t>
            </w:r>
            <w:r>
              <w:rPr>
                <w:rFonts w:ascii="仿宋_GB2312" w:hAnsi="仿宋_GB2312" w:eastAsia="仿宋_GB2312" w:cs="仿宋_GB2312"/>
                <w:bCs/>
                <w:color w:val="000000"/>
                <w:spacing w:val="6"/>
                <w:szCs w:val="28"/>
                <w:lang w:val="en-US"/>
              </w:rPr>
              <w:t>需围绕明确应用场景完成系统原型或关键功能验证，重点解决工程</w:t>
            </w:r>
            <w:r>
              <w:rPr>
                <w:rFonts w:hint="eastAsia" w:ascii="仿宋_GB2312" w:hAnsi="仿宋_GB2312" w:eastAsia="仿宋_GB2312" w:cs="仿宋_GB2312"/>
                <w:bCs/>
                <w:color w:val="000000"/>
                <w:spacing w:val="6"/>
                <w:szCs w:val="28"/>
                <w:lang w:val="en-US"/>
              </w:rPr>
              <w:t>数字</w:t>
            </w:r>
            <w:r>
              <w:rPr>
                <w:rFonts w:ascii="仿宋_GB2312" w:hAnsi="仿宋_GB2312" w:eastAsia="仿宋_GB2312" w:cs="仿宋_GB2312"/>
                <w:bCs/>
                <w:color w:val="000000"/>
                <w:spacing w:val="6"/>
                <w:szCs w:val="28"/>
                <w:lang w:val="en-US"/>
              </w:rPr>
              <w:t>图纸智能理解与应用中的具体问题，形成</w:t>
            </w:r>
            <w:r>
              <w:rPr>
                <w:rFonts w:hint="eastAsia" w:ascii="仿宋_GB2312" w:hAnsi="仿宋_GB2312" w:eastAsia="仿宋_GB2312" w:cs="仿宋_GB2312"/>
                <w:bCs/>
                <w:color w:val="000000"/>
                <w:spacing w:val="6"/>
                <w:szCs w:val="28"/>
                <w:lang w:val="en-US"/>
              </w:rPr>
              <w:t>可部署、</w:t>
            </w:r>
            <w:r>
              <w:rPr>
                <w:rFonts w:ascii="仿宋_GB2312" w:hAnsi="仿宋_GB2312" w:eastAsia="仿宋_GB2312" w:cs="仿宋_GB2312"/>
                <w:bCs/>
                <w:color w:val="000000"/>
                <w:spacing w:val="6"/>
                <w:szCs w:val="28"/>
                <w:lang w:val="en-US"/>
              </w:rPr>
              <w:t>可演示、可推广的技术方案。项目成果应具备清晰的产品形态与应用价值，具有进一步孵化为创业项目的现实条件。</w:t>
            </w:r>
          </w:p>
          <w:p w14:paraId="6D61111C">
            <w:pPr>
              <w:ind w:firstLine="504"/>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提报时间：</w:t>
            </w:r>
            <w:r>
              <w:rPr>
                <w:rFonts w:ascii="仿宋_GB2312" w:hAnsi="仿宋_GB2312" w:eastAsia="仿宋_GB2312" w:cs="仿宋_GB2312"/>
                <w:bCs/>
                <w:color w:val="000000"/>
                <w:spacing w:val="6"/>
                <w:szCs w:val="28"/>
                <w:lang w:val="en-US"/>
              </w:rPr>
              <w:t>2026</w:t>
            </w:r>
            <w:r>
              <w:rPr>
                <w:rFonts w:hint="eastAsia" w:ascii="仿宋_GB2312" w:hAnsi="仿宋_GB2312" w:eastAsia="仿宋_GB2312" w:cs="仿宋_GB2312"/>
                <w:bCs/>
                <w:color w:val="000000"/>
                <w:spacing w:val="6"/>
                <w:szCs w:val="28"/>
                <w:lang w:val="en-US"/>
              </w:rPr>
              <w:t>年</w:t>
            </w:r>
            <w:r>
              <w:rPr>
                <w:rFonts w:ascii="仿宋_GB2312" w:hAnsi="仿宋_GB2312" w:eastAsia="仿宋_GB2312" w:cs="仿宋_GB2312"/>
                <w:bCs/>
                <w:color w:val="000000"/>
                <w:spacing w:val="6"/>
                <w:szCs w:val="28"/>
                <w:lang w:val="en-US"/>
              </w:rPr>
              <w:t>4</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日</w:t>
            </w:r>
            <w:r>
              <w:rPr>
                <w:rFonts w:ascii="仿宋_GB2312" w:hAnsi="仿宋_GB2312" w:eastAsia="仿宋_GB2312" w:cs="仿宋_GB2312"/>
                <w:bCs/>
                <w:color w:val="000000"/>
                <w:spacing w:val="6"/>
                <w:szCs w:val="28"/>
                <w:lang w:val="en-US"/>
              </w:rPr>
              <w:t>-5</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日，评选时间暂定</w:t>
            </w:r>
            <w:r>
              <w:rPr>
                <w:rFonts w:ascii="仿宋_GB2312" w:hAnsi="仿宋_GB2312" w:eastAsia="仿宋_GB2312" w:cs="仿宋_GB2312"/>
                <w:bCs/>
                <w:color w:val="000000"/>
                <w:spacing w:val="6"/>
                <w:szCs w:val="28"/>
                <w:lang w:val="en-US"/>
              </w:rPr>
              <w:t>6</w:t>
            </w:r>
            <w:r>
              <w:rPr>
                <w:rFonts w:hint="eastAsia" w:ascii="仿宋_GB2312" w:hAnsi="仿宋_GB2312" w:eastAsia="仿宋_GB2312" w:cs="仿宋_GB2312"/>
                <w:bCs/>
                <w:color w:val="000000"/>
                <w:spacing w:val="6"/>
                <w:szCs w:val="28"/>
                <w:lang w:val="en-US"/>
              </w:rPr>
              <w:t>月</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提报要求：作品方案需阐明团队简介、技术来源、技术路线、技术创新、技术优势、技术预期实现效益及技术可应用性等。评选标准</w:t>
            </w:r>
            <w:r>
              <w:rPr>
                <w:rFonts w:hint="eastAsia" w:ascii="仿宋_GB2312" w:hAnsi="仿宋_GB2312" w:eastAsia="仿宋_GB2312" w:cs="仿宋_GB2312"/>
                <w:bCs/>
                <w:color w:val="000000"/>
                <w:spacing w:val="6"/>
                <w:szCs w:val="28"/>
                <w:lang w:val="en-US" w:eastAsia="zh-CN"/>
              </w:rPr>
              <w:t>：</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通过</w:t>
            </w:r>
            <w:r>
              <w:rPr>
                <w:rFonts w:ascii="仿宋_GB2312" w:hAnsi="仿宋_GB2312" w:eastAsia="仿宋_GB2312" w:cs="仿宋_GB2312"/>
                <w:bCs/>
                <w:color w:val="000000"/>
                <w:spacing w:val="6"/>
                <w:szCs w:val="28"/>
                <w:lang w:val="en-US"/>
              </w:rPr>
              <w:t>PPT</w:t>
            </w:r>
            <w:r>
              <w:rPr>
                <w:rFonts w:hint="eastAsia" w:ascii="仿宋_GB2312" w:hAnsi="仿宋_GB2312" w:eastAsia="仿宋_GB2312" w:cs="仿宋_GB2312"/>
                <w:bCs/>
                <w:color w:val="000000"/>
                <w:spacing w:val="6"/>
                <w:szCs w:val="28"/>
                <w:lang w:val="en-US"/>
              </w:rPr>
              <w:t>答辩形式进行线下或线上评选，由评审专家从技术创新性、技术预期效益、技术可应用性及团队实力等方面进行评选。</w:t>
            </w:r>
          </w:p>
        </w:tc>
      </w:tr>
      <w:tr w14:paraId="32FD8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F757A">
            <w:pPr>
              <w:overflowPunct w:val="0"/>
              <w:ind w:firstLine="0" w:firstLineChars="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07393D9C">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95B6ED">
            <w:pPr>
              <w:ind w:firstLine="0" w:firstLineChars="0"/>
              <w:rPr>
                <w:rFonts w:eastAsia="仿宋_GB2312"/>
                <w:lang w:val="en-US"/>
              </w:rPr>
            </w:pPr>
          </w:p>
          <w:p w14:paraId="79FC6118">
            <w:pPr>
              <w:ind w:firstLine="0" w:firstLineChars="0"/>
              <w:rPr>
                <w:rFonts w:eastAsia="仿宋_GB2312"/>
                <w:lang w:val="en-US"/>
              </w:rPr>
            </w:pPr>
            <w:r>
              <w:rPr>
                <w:rFonts w:eastAsia="仿宋_GB2312"/>
                <w:lang w:val="en-US"/>
              </w:rPr>
              <w:t xml:space="preserve">1. </w:t>
            </w:r>
            <w:r>
              <w:rPr>
                <w:rFonts w:hint="eastAsia" w:eastAsia="仿宋_GB2312"/>
                <w:lang w:val="en-US"/>
              </w:rPr>
              <w:t>作品完整性：</w:t>
            </w:r>
            <w:r>
              <w:rPr>
                <w:rFonts w:eastAsia="仿宋_GB2312"/>
                <w:lang w:val="en-US"/>
              </w:rPr>
              <w:t xml:space="preserve">40 </w:t>
            </w:r>
            <w:r>
              <w:rPr>
                <w:rFonts w:hint="eastAsia" w:eastAsia="仿宋_GB2312"/>
                <w:lang w:val="en-US"/>
              </w:rPr>
              <w:t>分</w:t>
            </w:r>
          </w:p>
          <w:p w14:paraId="20F7E02C">
            <w:pPr>
              <w:rPr>
                <w:rFonts w:eastAsia="仿宋_GB2312"/>
                <w:lang w:val="en-US"/>
              </w:rPr>
            </w:pPr>
            <w:r>
              <w:rPr>
                <w:rFonts w:hint="eastAsia" w:eastAsia="仿宋_GB2312"/>
                <w:lang w:val="en-US"/>
              </w:rPr>
              <w:t>独立研发并完成基于多模态大模型的工程数字图纸智能管理系统，功能完整可用，为</w:t>
            </w:r>
            <w:r>
              <w:rPr>
                <w:rFonts w:eastAsia="仿宋_GB2312"/>
                <w:lang w:val="en-US"/>
              </w:rPr>
              <w:t xml:space="preserve">40 </w:t>
            </w:r>
            <w:r>
              <w:rPr>
                <w:rFonts w:hint="eastAsia" w:eastAsia="仿宋_GB2312"/>
                <w:lang w:val="en-US"/>
              </w:rPr>
              <w:t>分。如未完成，按照完成比例给予评定，最多不超过</w:t>
            </w:r>
            <w:r>
              <w:rPr>
                <w:rFonts w:eastAsia="仿宋_GB2312"/>
                <w:lang w:val="en-US"/>
              </w:rPr>
              <w:t xml:space="preserve">20 </w:t>
            </w:r>
            <w:r>
              <w:rPr>
                <w:rFonts w:hint="eastAsia" w:eastAsia="仿宋_GB2312"/>
                <w:lang w:val="en-US"/>
              </w:rPr>
              <w:t>分。</w:t>
            </w:r>
          </w:p>
          <w:p w14:paraId="605FCEAD">
            <w:pPr>
              <w:ind w:firstLine="0" w:firstLineChars="0"/>
              <w:rPr>
                <w:rFonts w:eastAsia="仿宋_GB2312"/>
                <w:lang w:val="en-US"/>
              </w:rPr>
            </w:pPr>
            <w:r>
              <w:rPr>
                <w:rFonts w:eastAsia="仿宋_GB2312"/>
                <w:lang w:val="en-US"/>
              </w:rPr>
              <w:t xml:space="preserve">2. </w:t>
            </w:r>
            <w:r>
              <w:rPr>
                <w:rFonts w:hint="eastAsia" w:eastAsia="仿宋_GB2312"/>
                <w:lang w:val="en-US"/>
              </w:rPr>
              <w:t>系统性能：</w:t>
            </w:r>
            <w:r>
              <w:rPr>
                <w:rFonts w:eastAsia="仿宋_GB2312"/>
                <w:lang w:val="en-US"/>
              </w:rPr>
              <w:t xml:space="preserve">30 </w:t>
            </w:r>
            <w:r>
              <w:rPr>
                <w:rFonts w:hint="eastAsia" w:eastAsia="仿宋_GB2312"/>
                <w:lang w:val="en-US"/>
              </w:rPr>
              <w:t>分</w:t>
            </w:r>
          </w:p>
          <w:p w14:paraId="52D8B322">
            <w:pPr>
              <w:rPr>
                <w:rFonts w:eastAsia="仿宋_GB2312"/>
                <w:lang w:val="en-US"/>
              </w:rPr>
            </w:pPr>
            <w:r>
              <w:rPr>
                <w:rFonts w:hint="eastAsia" w:eastAsia="仿宋_GB2312"/>
                <w:lang w:val="en-US"/>
              </w:rPr>
              <w:t>根据系统识别准确率、召回率，处理速度和效率，综合评定</w:t>
            </w:r>
            <w:r>
              <w:rPr>
                <w:rFonts w:eastAsia="仿宋_GB2312"/>
                <w:lang w:val="en-US"/>
              </w:rPr>
              <w:t xml:space="preserve">0-30 </w:t>
            </w:r>
            <w:r>
              <w:rPr>
                <w:rFonts w:hint="eastAsia" w:eastAsia="仿宋_GB2312"/>
                <w:lang w:val="en-US"/>
              </w:rPr>
              <w:t>分。</w:t>
            </w:r>
          </w:p>
          <w:p w14:paraId="5E5D0434">
            <w:pPr>
              <w:ind w:firstLine="0" w:firstLineChars="0"/>
              <w:rPr>
                <w:rFonts w:eastAsia="仿宋_GB2312"/>
                <w:lang w:val="en-US"/>
              </w:rPr>
            </w:pPr>
            <w:r>
              <w:rPr>
                <w:rFonts w:eastAsia="仿宋_GB2312"/>
                <w:lang w:val="en-US"/>
              </w:rPr>
              <w:t xml:space="preserve">3. </w:t>
            </w:r>
            <w:r>
              <w:rPr>
                <w:rFonts w:hint="eastAsia" w:eastAsia="仿宋_GB2312"/>
                <w:lang w:val="en-US"/>
              </w:rPr>
              <w:t>技术创新性：</w:t>
            </w:r>
            <w:r>
              <w:rPr>
                <w:rFonts w:eastAsia="仿宋_GB2312"/>
                <w:lang w:val="en-US"/>
              </w:rPr>
              <w:t xml:space="preserve">20 </w:t>
            </w:r>
            <w:r>
              <w:rPr>
                <w:rFonts w:hint="eastAsia" w:eastAsia="仿宋_GB2312"/>
                <w:lang w:val="en-US"/>
              </w:rPr>
              <w:t>分</w:t>
            </w:r>
          </w:p>
          <w:p w14:paraId="43CB2F46">
            <w:pPr>
              <w:rPr>
                <w:rFonts w:eastAsia="仿宋_GB2312"/>
                <w:lang w:val="en-US"/>
              </w:rPr>
            </w:pPr>
            <w:r>
              <w:rPr>
                <w:rFonts w:hint="eastAsia" w:eastAsia="仿宋_GB2312"/>
                <w:lang w:val="en-US"/>
              </w:rPr>
              <w:t>考量作品在系统设计、数据处理、策略开发、多模态大模型技术应用等方面的创新点，综合评定</w:t>
            </w:r>
            <w:r>
              <w:rPr>
                <w:rFonts w:eastAsia="仿宋_GB2312"/>
                <w:lang w:val="en-US"/>
              </w:rPr>
              <w:t xml:space="preserve">0-20 </w:t>
            </w:r>
            <w:r>
              <w:rPr>
                <w:rFonts w:hint="eastAsia" w:eastAsia="仿宋_GB2312"/>
                <w:lang w:val="en-US"/>
              </w:rPr>
              <w:t>分。</w:t>
            </w:r>
          </w:p>
          <w:p w14:paraId="377A21F2">
            <w:pPr>
              <w:ind w:firstLine="0" w:firstLineChars="0"/>
              <w:rPr>
                <w:rFonts w:eastAsia="仿宋_GB2312"/>
                <w:lang w:val="en-US"/>
              </w:rPr>
            </w:pPr>
            <w:r>
              <w:rPr>
                <w:rFonts w:eastAsia="仿宋_GB2312"/>
                <w:lang w:val="en-US"/>
              </w:rPr>
              <w:t xml:space="preserve">4. </w:t>
            </w:r>
            <w:r>
              <w:rPr>
                <w:rFonts w:hint="eastAsia" w:eastAsia="仿宋_GB2312"/>
                <w:lang w:val="en-US"/>
              </w:rPr>
              <w:t>实用性和应用前景：</w:t>
            </w:r>
            <w:r>
              <w:rPr>
                <w:rFonts w:eastAsia="仿宋_GB2312"/>
                <w:lang w:val="en-US"/>
              </w:rPr>
              <w:t xml:space="preserve">10 </w:t>
            </w:r>
            <w:r>
              <w:rPr>
                <w:rFonts w:hint="eastAsia" w:eastAsia="仿宋_GB2312"/>
                <w:lang w:val="en-US"/>
              </w:rPr>
              <w:t>分</w:t>
            </w:r>
          </w:p>
          <w:p w14:paraId="44E94962">
            <w:pPr>
              <w:rPr>
                <w:rFonts w:eastAsia="仿宋_GB2312"/>
                <w:lang w:val="en-US"/>
              </w:rPr>
            </w:pPr>
            <w:r>
              <w:rPr>
                <w:rFonts w:hint="eastAsia" w:eastAsia="仿宋_GB2312"/>
                <w:lang w:val="en-US"/>
              </w:rPr>
              <w:t>根据系统在实际场景中的应用价值，系统部署和维护的成本效益比进行打分，综合评定</w:t>
            </w:r>
            <w:r>
              <w:rPr>
                <w:rFonts w:eastAsia="仿宋_GB2312"/>
                <w:lang w:val="en-US"/>
              </w:rPr>
              <w:t xml:space="preserve">0-10 </w:t>
            </w:r>
            <w:r>
              <w:rPr>
                <w:rFonts w:hint="eastAsia" w:eastAsia="仿宋_GB2312"/>
                <w:lang w:val="en-US"/>
              </w:rPr>
              <w:t>分。</w:t>
            </w:r>
          </w:p>
          <w:p w14:paraId="5BDD3C17">
            <w:pPr>
              <w:rPr>
                <w:rFonts w:eastAsia="仿宋_GB2312"/>
                <w:lang w:val="en-US"/>
              </w:rPr>
            </w:pPr>
          </w:p>
        </w:tc>
      </w:tr>
      <w:tr w14:paraId="0F99C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3F4A6F">
            <w:pPr>
              <w:rPr>
                <w:rFonts w:eastAsia="楷体_GB2312"/>
              </w:rPr>
            </w:pPr>
            <w:r>
              <w:rPr>
                <w:rFonts w:hint="eastAsia" w:eastAsia="楷体_GB2312"/>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03B5F4">
            <w:pPr>
              <w:ind w:firstLine="504"/>
              <w:rPr>
                <w:rFonts w:eastAsia="仿宋_GB2312"/>
                <w:bCs/>
                <w:spacing w:val="6"/>
                <w:szCs w:val="28"/>
              </w:rPr>
            </w:pPr>
            <w:r>
              <w:rPr>
                <w:rFonts w:hint="eastAsia" w:eastAsia="仿宋_GB2312"/>
                <w:bCs/>
                <w:spacing w:val="6"/>
                <w:szCs w:val="28"/>
              </w:rPr>
              <w:t>无。</w:t>
            </w:r>
          </w:p>
        </w:tc>
      </w:tr>
    </w:tbl>
    <w:p w14:paraId="440CF405">
      <w:pPr>
        <w:rPr>
          <w:rFonts w:eastAsia="方正黑体简体"/>
          <w:sz w:val="32"/>
          <w:szCs w:val="32"/>
        </w:rPr>
      </w:pPr>
      <w:r>
        <w:rPr>
          <w:rFonts w:hint="eastAsia" w:eastAsia="方正黑体简体"/>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3698F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31CBD60">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62163">
            <w:pPr>
              <w:ind w:firstLine="504"/>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2026</w:t>
            </w:r>
            <w:r>
              <w:rPr>
                <w:rFonts w:hint="eastAsia" w:ascii="仿宋_GB2312" w:hAnsi="仿宋_GB2312" w:eastAsia="仿宋_GB2312" w:cs="仿宋_GB2312"/>
                <w:bCs/>
                <w:color w:val="000000"/>
                <w:spacing w:val="6"/>
                <w:szCs w:val="28"/>
              </w:rPr>
              <w:t>年</w:t>
            </w:r>
            <w:r>
              <w:rPr>
                <w:rFonts w:ascii="仿宋_GB2312" w:hAnsi="仿宋_GB2312" w:eastAsia="仿宋_GB2312" w:cs="仿宋_GB2312"/>
                <w:bCs/>
                <w:color w:val="000000"/>
                <w:spacing w:val="6"/>
                <w:szCs w:val="28"/>
              </w:rPr>
              <w:t>4</w:t>
            </w:r>
            <w:r>
              <w:rPr>
                <w:rFonts w:hint="eastAsia" w:ascii="仿宋_GB2312" w:hAnsi="仿宋_GB2312" w:eastAsia="仿宋_GB2312" w:cs="仿宋_GB2312"/>
                <w:bCs/>
                <w:color w:val="000000"/>
                <w:spacing w:val="6"/>
                <w:szCs w:val="28"/>
              </w:rPr>
              <w:t>月</w:t>
            </w:r>
            <w:r>
              <w:rPr>
                <w:rFonts w:ascii="仿宋_GB2312" w:hAnsi="仿宋_GB2312" w:eastAsia="仿宋_GB2312" w:cs="仿宋_GB2312"/>
                <w:bCs/>
                <w:color w:val="000000"/>
                <w:spacing w:val="6"/>
                <w:szCs w:val="28"/>
              </w:rPr>
              <w:t>-5</w:t>
            </w:r>
            <w:r>
              <w:rPr>
                <w:rFonts w:hint="eastAsia" w:ascii="仿宋_GB2312" w:hAnsi="仿宋_GB2312" w:eastAsia="仿宋_GB2312" w:cs="仿宋_GB2312"/>
                <w:bCs/>
                <w:color w:val="000000"/>
                <w:spacing w:val="6"/>
                <w:szCs w:val="28"/>
              </w:rPr>
              <w:t>月期间，可为参赛团队集中组织</w:t>
            </w: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次线上技术交流沟通会，帮助参赛团队更好的了解参赛题目，线下随时沟通</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可为参赛团队代表集中组织</w:t>
            </w:r>
            <w:r>
              <w:rPr>
                <w:rFonts w:ascii="仿宋_GB2312" w:hAnsi="仿宋_GB2312" w:eastAsia="仿宋_GB2312" w:cs="仿宋_GB2312"/>
                <w:bCs/>
                <w:color w:val="000000"/>
                <w:spacing w:val="6"/>
                <w:szCs w:val="28"/>
              </w:rPr>
              <w:t>1</w:t>
            </w:r>
            <w:r>
              <w:rPr>
                <w:rFonts w:hint="eastAsia" w:ascii="仿宋_GB2312" w:hAnsi="仿宋_GB2312" w:eastAsia="仿宋_GB2312" w:cs="仿宋_GB2312"/>
                <w:bCs/>
                <w:color w:val="000000"/>
                <w:spacing w:val="6"/>
                <w:szCs w:val="28"/>
              </w:rPr>
              <w:t>次3人以内的现场参观交流机会（交通食宿自理），帮助参赛团队切身了解现场需求</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整个参赛期间，为参赛团队提供专门指导人员，解答及帮助其协调参赛过程的相关问题。</w:t>
            </w:r>
          </w:p>
          <w:p w14:paraId="4D4E5F26">
            <w:pPr>
              <w:rPr>
                <w:rFonts w:eastAsia="仿宋_GB2312"/>
              </w:rPr>
            </w:pPr>
          </w:p>
        </w:tc>
      </w:tr>
      <w:tr w14:paraId="06438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63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2F1F9D">
            <w:pPr>
              <w:spacing w:line="560" w:lineRule="exact"/>
              <w:ind w:firstLine="0" w:firstLineChars="0"/>
              <w:jc w:val="center"/>
              <w:rPr>
                <w:rFonts w:eastAsia="楷体_GB2312"/>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BC560CB">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一、奖项设置</w:t>
            </w:r>
          </w:p>
          <w:p w14:paraId="738A165E">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原则上设“擂主”团队1个，</w:t>
            </w:r>
            <w:r>
              <w:rPr>
                <w:rFonts w:hint="eastAsia" w:ascii="仿宋_GB2312" w:hAnsi="仿宋_GB2312" w:eastAsia="仿宋_GB2312" w:cs="仿宋_GB2312"/>
                <w:bCs/>
                <w:color w:val="000000"/>
                <w:spacing w:val="6"/>
                <w:szCs w:val="28"/>
              </w:rPr>
              <w:t>根据实际情况评出相应的特等奖、一等奖、二等奖、三等奖项目若干。</w:t>
            </w:r>
          </w:p>
          <w:p w14:paraId="58E3CC33">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二、奖励措施</w:t>
            </w:r>
          </w:p>
          <w:p w14:paraId="28A36946">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1.特等奖</w:t>
            </w:r>
            <w:r>
              <w:rPr>
                <w:rFonts w:hint="eastAsia" w:ascii="仿宋_GB2312" w:hAnsi="仿宋_GB2312" w:eastAsia="仿宋_GB2312" w:cs="仿宋_GB2312"/>
                <w:bCs/>
                <w:color w:val="000000"/>
                <w:spacing w:val="6"/>
                <w:szCs w:val="28"/>
                <w:lang w:eastAsia="zh-CN"/>
              </w:rPr>
              <w:t>：</w:t>
            </w:r>
            <w:r>
              <w:rPr>
                <w:rFonts w:hint="eastAsia" w:ascii="仿宋_GB2312" w:hAnsi="仿宋_GB2312" w:eastAsia="仿宋_GB2312" w:cs="仿宋_GB2312"/>
                <w:bCs/>
                <w:color w:val="000000"/>
                <w:spacing w:val="6"/>
                <w:szCs w:val="28"/>
              </w:rPr>
              <w:t>为每个获奖团队提供2个带薪实习机会</w:t>
            </w:r>
            <w:r>
              <w:rPr>
                <w:rFonts w:hint="eastAsia" w:ascii="仿宋_GB2312" w:hAnsi="仿宋_GB2312" w:eastAsia="仿宋_GB2312" w:cs="仿宋_GB2312"/>
                <w:bCs/>
                <w:color w:val="000000"/>
                <w:spacing w:val="6"/>
                <w:szCs w:val="28"/>
                <w:lang w:eastAsia="zh-CN"/>
              </w:rPr>
              <w:t>；</w:t>
            </w:r>
          </w:p>
          <w:p w14:paraId="4D680291">
            <w:pPr>
              <w:ind w:firstLine="504"/>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2.“擂主”团队奖励：签订产学研合作协议，提供2个入职面试机会，面试通过后可获得进入航天系统工作机会。</w:t>
            </w:r>
          </w:p>
          <w:p w14:paraId="71C20257">
            <w:pPr>
              <w:ind w:firstLine="504"/>
              <w:jc w:val="both"/>
              <w:rPr>
                <w:rFonts w:eastAsia="华文楷体"/>
              </w:rPr>
            </w:pPr>
            <w:r>
              <w:rPr>
                <w:rFonts w:hint="eastAsia" w:ascii="仿宋_GB2312" w:hAnsi="仿宋_GB2312" w:eastAsia="仿宋_GB2312" w:cs="仿宋_GB2312"/>
                <w:bCs/>
                <w:color w:val="000000"/>
                <w:spacing w:val="6"/>
                <w:szCs w:val="28"/>
              </w:rPr>
              <w:t>3.一等奖、二等奖、三等奖团队，表现优异者可获得求职“绿色通道”。</w:t>
            </w:r>
          </w:p>
        </w:tc>
      </w:tr>
    </w:tbl>
    <w:p w14:paraId="75C80D35">
      <w:pPr>
        <w:rPr>
          <w:rFonts w:hint="eastAsia" w:eastAsia="方正黑体简体"/>
          <w:sz w:val="32"/>
          <w:szCs w:val="32"/>
          <w:lang w:val="en-US"/>
        </w:rPr>
      </w:pPr>
    </w:p>
    <w:p w14:paraId="63317BA3">
      <w:pPr>
        <w:rPr>
          <w:rFonts w:hint="eastAsia" w:eastAsia="方正黑体简体"/>
          <w:sz w:val="32"/>
          <w:szCs w:val="32"/>
          <w:lang w:val="en-US"/>
        </w:rPr>
      </w:pPr>
    </w:p>
    <w:p w14:paraId="1D3B143C">
      <w:pPr>
        <w:rPr>
          <w:rFonts w:hint="eastAsia" w:eastAsia="方正黑体简体"/>
          <w:sz w:val="32"/>
          <w:szCs w:val="32"/>
          <w:lang w:val="en-US"/>
        </w:rPr>
      </w:pPr>
    </w:p>
    <w:p w14:paraId="3707BA56">
      <w:pPr>
        <w:rPr>
          <w:rFonts w:eastAsia="方正黑体简体"/>
          <w:sz w:val="32"/>
          <w:szCs w:val="32"/>
          <w:lang w:val="en-US"/>
        </w:rPr>
      </w:pPr>
      <w:r>
        <w:rPr>
          <w:rFonts w:hint="eastAsia" w:eastAsia="方正黑体简体"/>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9DC8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571EF5B">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B42F51">
            <w:pPr>
              <w:overflowPunct w:val="0"/>
              <w:ind w:firstLine="504"/>
              <w:rPr>
                <w:rFonts w:ascii="仿宋_GB2312" w:hAnsi="仿宋_GB2312" w:eastAsia="仿宋_GB2312" w:cs="仿宋_GB2312"/>
                <w:bCs/>
                <w:color w:val="000000"/>
                <w:spacing w:val="6"/>
                <w:szCs w:val="28"/>
              </w:rPr>
            </w:pPr>
          </w:p>
          <w:p w14:paraId="76058D7C">
            <w:pPr>
              <w:overflowPunct w:val="0"/>
              <w:ind w:firstLine="504"/>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面向工程领域数字图纸智能理解这一共性难题，探索多模态大模型在工程图纸解析、语义建模与智能推理中的应用方法，有助于突破传统图纸管理系统仅具备存储与展示功能、缺乏语义理解与智能分析能力的技术瓶颈。通过引入多模态感知、语义融合与智能交互技术，推动工程数字图纸从</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被动管理</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向</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主动理解与辅助决策</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转变，对工程智能设计、智能制造发展具有积极的技术支撑和示范意义。</w:t>
            </w:r>
          </w:p>
          <w:p w14:paraId="45160DEE">
            <w:pPr>
              <w:rPr>
                <w:rFonts w:eastAsia="华文楷体"/>
              </w:rPr>
            </w:pPr>
          </w:p>
        </w:tc>
      </w:tr>
      <w:tr w14:paraId="6D0435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5920C9">
            <w:pPr>
              <w:overflowPunct w:val="0"/>
              <w:ind w:firstLine="0" w:firstLineChars="0"/>
              <w:jc w:val="center"/>
              <w:rPr>
                <w:rFonts w:eastAsia="楷体_GB2312"/>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2BB8C">
            <w:pPr>
              <w:overflowPunct w:val="0"/>
              <w:ind w:firstLine="504"/>
              <w:rPr>
                <w:rFonts w:ascii="仿宋_GB2312" w:hAnsi="仿宋_GB2312" w:eastAsia="仿宋_GB2312" w:cs="仿宋_GB2312"/>
                <w:bCs/>
                <w:color w:val="000000"/>
                <w:spacing w:val="6"/>
                <w:szCs w:val="28"/>
              </w:rPr>
            </w:pPr>
          </w:p>
          <w:p w14:paraId="740DD792">
            <w:pPr>
              <w:overflowPunct w:val="0"/>
              <w:ind w:firstLine="504"/>
              <w:rPr>
                <w:rFonts w:eastAsia="仿宋_GB2312"/>
                <w:lang w:val="en-US"/>
              </w:rPr>
            </w:pPr>
            <w:r>
              <w:rPr>
                <w:rFonts w:hint="eastAsia" w:ascii="仿宋_GB2312" w:hAnsi="仿宋_GB2312" w:eastAsia="仿宋_GB2312" w:cs="仿宋_GB2312"/>
                <w:bCs/>
                <w:color w:val="000000"/>
                <w:spacing w:val="6"/>
                <w:szCs w:val="28"/>
              </w:rPr>
              <w:t>项目成果可广泛应用于制造业、工程设计、建筑与装备等领域，有助于提升图纸检索、复用与审查效率，降低工程设计与管理的人力成本，减少因图纸理解偏差带来的工程风险。通过人工智能与工程应用交叉领域的创新与创业能力，促进科技成果转化与产学研协同发展，对推动工程数字化转型和经济社会高质量发展具有良好的现实意义。</w:t>
            </w:r>
          </w:p>
          <w:p w14:paraId="3A884CD7">
            <w:pPr>
              <w:rPr>
                <w:rFonts w:eastAsia="华文楷体"/>
              </w:rPr>
            </w:pPr>
          </w:p>
        </w:tc>
      </w:tr>
    </w:tbl>
    <w:p w14:paraId="213FC3FD">
      <w:pPr>
        <w:rPr>
          <w:rFonts w:hint="eastAsia" w:eastAsia="楷体_GB2312"/>
        </w:rPr>
      </w:pPr>
      <w:r>
        <w:rPr>
          <w:rFonts w:hint="eastAsia" w:eastAsia="楷体_GB2312"/>
        </w:rPr>
        <w:br w:type="page"/>
      </w:r>
    </w:p>
    <w:p w14:paraId="3BF3B108">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CFFC9E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3</w:t>
      </w:r>
    </w:p>
    <w:p w14:paraId="28C9702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D6E8971">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5AF5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7A734F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67256662">
            <w:pPr>
              <w:adjustRightInd w:val="0"/>
              <w:snapToGrid w:val="0"/>
              <w:ind w:firstLine="480"/>
              <w:jc w:val="center"/>
              <w:rPr>
                <w:rFonts w:ascii="仿宋_GB2312" w:hAnsi="仿宋_GB2312" w:eastAsia="仿宋_GB2312" w:cs="仿宋_GB2312"/>
              </w:rPr>
            </w:pPr>
            <w:r>
              <w:rPr>
                <w:rFonts w:hint="eastAsia" w:eastAsia="仿宋_GB2312"/>
                <w:lang w:val="en-US"/>
              </w:rPr>
              <w:t>北京航天世景信息技术有限公司</w:t>
            </w:r>
          </w:p>
        </w:tc>
      </w:tr>
      <w:tr w14:paraId="455F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D17AD8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单位类型</w:t>
            </w:r>
          </w:p>
        </w:tc>
        <w:tc>
          <w:tcPr>
            <w:tcW w:w="6932" w:type="dxa"/>
            <w:gridSpan w:val="3"/>
            <w:vAlign w:val="center"/>
          </w:tcPr>
          <w:p w14:paraId="34E28BCD">
            <w:pPr>
              <w:adjustRightInd w:val="0"/>
              <w:snapToGrid w:val="0"/>
              <w:ind w:firstLine="480"/>
              <w:jc w:val="center"/>
              <w:rPr>
                <w:rFonts w:ascii="仿宋_GB2312" w:hAnsi="仿宋_GB2312" w:eastAsia="仿宋_GB2312" w:cs="仿宋_GB2312"/>
                <w:bCs/>
                <w:spacing w:val="6"/>
                <w:szCs w:val="28"/>
                <w:lang w:val="en-US"/>
              </w:rPr>
            </w:pPr>
            <w:r>
              <w:rPr>
                <w:rFonts w:hint="eastAsia" w:eastAsia="仿宋_GB2312"/>
                <w:lang w:val="en-US"/>
              </w:rPr>
              <w:t>国有企业</w:t>
            </w:r>
          </w:p>
        </w:tc>
      </w:tr>
      <w:tr w14:paraId="5D56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786B35B">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9B23197">
            <w:pPr>
              <w:adjustRightInd w:val="0"/>
              <w:ind w:firstLine="480"/>
              <w:rPr>
                <w:rFonts w:ascii="仿宋_GB2312" w:hAnsi="仿宋_GB2312" w:eastAsia="仿宋_GB2312" w:cs="仿宋_GB2312"/>
              </w:rPr>
            </w:pPr>
            <w:r>
              <w:rPr>
                <w:rFonts w:hint="eastAsia" w:eastAsia="仿宋_GB2312"/>
                <w:lang w:val="en-US"/>
              </w:rPr>
              <w:t>北京市石景山区鲁谷路</w:t>
            </w:r>
            <w:r>
              <w:rPr>
                <w:rFonts w:eastAsia="仿宋_GB2312"/>
                <w:lang w:val="en-US"/>
              </w:rPr>
              <w:t>74</w:t>
            </w:r>
            <w:r>
              <w:rPr>
                <w:rFonts w:hint="eastAsia" w:eastAsia="仿宋_GB2312"/>
                <w:lang w:val="en-US"/>
              </w:rPr>
              <w:t>号中国瑞达大厦</w:t>
            </w:r>
            <w:r>
              <w:rPr>
                <w:rFonts w:eastAsia="仿宋_GB2312"/>
                <w:lang w:val="en-US"/>
              </w:rPr>
              <w:t>8</w:t>
            </w:r>
            <w:r>
              <w:rPr>
                <w:rFonts w:hint="eastAsia" w:eastAsia="仿宋_GB2312"/>
                <w:lang w:val="en-US"/>
              </w:rPr>
              <w:t>层</w:t>
            </w:r>
            <w:r>
              <w:rPr>
                <w:rFonts w:eastAsia="仿宋_GB2312"/>
                <w:lang w:val="en-US"/>
              </w:rPr>
              <w:t>F812-F815</w:t>
            </w:r>
          </w:p>
        </w:tc>
      </w:tr>
      <w:tr w14:paraId="3F6E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7A12166">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单位简介</w:t>
            </w:r>
          </w:p>
        </w:tc>
        <w:tc>
          <w:tcPr>
            <w:tcW w:w="6932" w:type="dxa"/>
            <w:gridSpan w:val="3"/>
            <w:vAlign w:val="center"/>
          </w:tcPr>
          <w:p w14:paraId="63B85343">
            <w:pPr>
              <w:adjustRightInd w:val="0"/>
              <w:snapToGrid w:val="0"/>
              <w:jc w:val="both"/>
              <w:rPr>
                <w:rFonts w:ascii="仿宋_GB2312" w:hAnsi="仿宋_GB2312" w:eastAsia="仿宋_GB2312" w:cs="仿宋_GB2312"/>
                <w:bCs/>
                <w:spacing w:val="6"/>
                <w:szCs w:val="28"/>
              </w:rPr>
            </w:pPr>
            <w:r>
              <w:rPr>
                <w:rFonts w:hint="eastAsia" w:eastAsia="仿宋_GB2312"/>
              </w:rPr>
              <w:t>北京航天世景信息技术有限公司，注册资本</w:t>
            </w:r>
            <w:r>
              <w:rPr>
                <w:rFonts w:eastAsia="仿宋_GB2312"/>
              </w:rPr>
              <w:t>5000</w:t>
            </w:r>
            <w:r>
              <w:rPr>
                <w:rFonts w:hint="eastAsia" w:eastAsia="仿宋_GB2312"/>
              </w:rPr>
              <w:t>万，是中国航天科技集团全资子公司（央企三级），人员规模约2</w:t>
            </w:r>
            <w:r>
              <w:rPr>
                <w:rFonts w:eastAsia="仿宋_GB2312"/>
              </w:rPr>
              <w:t>00</w:t>
            </w:r>
            <w:r>
              <w:rPr>
                <w:rFonts w:hint="eastAsia" w:eastAsia="仿宋_GB2312"/>
              </w:rPr>
              <w:t>人。专注民用卫星遥感领域。统筹运营5</w:t>
            </w:r>
            <w:r>
              <w:rPr>
                <w:rFonts w:eastAsia="仿宋_GB2312"/>
              </w:rPr>
              <w:t>8</w:t>
            </w:r>
            <w:r>
              <w:rPr>
                <w:rFonts w:hint="eastAsia" w:eastAsia="仿宋_GB2312"/>
              </w:rPr>
              <w:t>颗民商遥感卫星资源，具备遥感数据生产、</w:t>
            </w:r>
            <w:r>
              <w:rPr>
                <w:rFonts w:eastAsia="仿宋_GB2312"/>
              </w:rPr>
              <w:t>AI</w:t>
            </w:r>
            <w:r>
              <w:rPr>
                <w:rFonts w:hint="eastAsia" w:eastAsia="仿宋_GB2312"/>
              </w:rPr>
              <w:t>解译、软件开发及行业解决方案的全链条服务能力。拥有甲级测绘资质等</w:t>
            </w:r>
            <w:r>
              <w:rPr>
                <w:rFonts w:eastAsia="仿宋_GB2312"/>
              </w:rPr>
              <w:t>10</w:t>
            </w:r>
            <w:r>
              <w:rPr>
                <w:rFonts w:hint="eastAsia" w:eastAsia="仿宋_GB2312"/>
              </w:rPr>
              <w:t>余项资质，授权发明专利</w:t>
            </w:r>
            <w:r>
              <w:rPr>
                <w:rFonts w:eastAsia="仿宋_GB2312"/>
              </w:rPr>
              <w:t>18</w:t>
            </w:r>
            <w:r>
              <w:rPr>
                <w:rFonts w:hint="eastAsia" w:eastAsia="仿宋_GB2312"/>
              </w:rPr>
              <w:t>项、软著</w:t>
            </w:r>
            <w:r>
              <w:rPr>
                <w:rFonts w:eastAsia="仿宋_GB2312"/>
              </w:rPr>
              <w:t>60</w:t>
            </w:r>
            <w:r>
              <w:rPr>
                <w:rFonts w:hint="eastAsia" w:eastAsia="仿宋_GB2312"/>
              </w:rPr>
              <w:t>项。数据统筹类项目市场份额超</w:t>
            </w:r>
            <w:r>
              <w:rPr>
                <w:rFonts w:eastAsia="仿宋_GB2312"/>
              </w:rPr>
              <w:t>80%</w:t>
            </w:r>
            <w:r>
              <w:rPr>
                <w:rFonts w:hint="eastAsia" w:eastAsia="仿宋_GB2312"/>
              </w:rPr>
              <w:t>。连续四年入选中国地理信息产业百强，为国内超百家政企客户提供时空信息智能服务，稳居行业领军地位。</w:t>
            </w:r>
          </w:p>
        </w:tc>
      </w:tr>
      <w:tr w14:paraId="25E5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97923E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联系人</w:t>
            </w:r>
          </w:p>
        </w:tc>
        <w:tc>
          <w:tcPr>
            <w:tcW w:w="3076" w:type="dxa"/>
            <w:vAlign w:val="center"/>
          </w:tcPr>
          <w:p w14:paraId="4231C2A4">
            <w:pPr>
              <w:adjustRightInd w:val="0"/>
              <w:snapToGrid w:val="0"/>
              <w:jc w:val="center"/>
              <w:rPr>
                <w:rFonts w:ascii="仿宋_GB2312" w:hAnsi="仿宋_GB2312" w:eastAsia="仿宋_GB2312" w:cs="仿宋_GB2312"/>
                <w:bCs/>
                <w:spacing w:val="6"/>
                <w:szCs w:val="28"/>
                <w:lang w:val="en-US"/>
              </w:rPr>
            </w:pPr>
            <w:r>
              <w:rPr>
                <w:rFonts w:hint="eastAsia" w:eastAsia="仿宋_GB2312"/>
                <w:lang w:val="en-US"/>
              </w:rPr>
              <w:t>邱凤婷</w:t>
            </w:r>
          </w:p>
        </w:tc>
        <w:tc>
          <w:tcPr>
            <w:tcW w:w="1073" w:type="dxa"/>
            <w:vAlign w:val="center"/>
          </w:tcPr>
          <w:p w14:paraId="542A0EB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7B48D94">
            <w:pPr>
              <w:adjustRightInd w:val="0"/>
              <w:ind w:firstLine="480"/>
              <w:jc w:val="center"/>
              <w:rPr>
                <w:rFonts w:eastAsia="方正仿宋简体"/>
              </w:rPr>
            </w:pPr>
            <w:r>
              <w:rPr>
                <w:rFonts w:hint="eastAsia" w:eastAsia="仿宋_GB2312"/>
                <w:lang w:val="en-US"/>
              </w:rPr>
              <w:t>智能解译部部长</w:t>
            </w:r>
          </w:p>
        </w:tc>
      </w:tr>
      <w:tr w14:paraId="6D5B5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D300CA2">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联系方式</w:t>
            </w:r>
          </w:p>
        </w:tc>
        <w:tc>
          <w:tcPr>
            <w:tcW w:w="3076" w:type="dxa"/>
            <w:vAlign w:val="center"/>
          </w:tcPr>
          <w:p w14:paraId="72FAE82B">
            <w:pPr>
              <w:adjustRightInd w:val="0"/>
              <w:snapToGrid w:val="0"/>
              <w:jc w:val="center"/>
              <w:rPr>
                <w:rFonts w:ascii="仿宋_GB2312" w:hAnsi="仿宋_GB2312" w:eastAsia="仿宋_GB2312" w:cs="仿宋_GB2312"/>
                <w:bCs/>
                <w:spacing w:val="6"/>
                <w:szCs w:val="28"/>
                <w:lang w:val="en-US"/>
              </w:rPr>
            </w:pPr>
            <w:r>
              <w:rPr>
                <w:rFonts w:hint="eastAsia" w:eastAsia="仿宋_GB2312"/>
                <w:lang w:val="en-US"/>
              </w:rPr>
              <w:t>1</w:t>
            </w:r>
            <w:r>
              <w:rPr>
                <w:rFonts w:eastAsia="仿宋_GB2312"/>
                <w:lang w:val="en-US"/>
              </w:rPr>
              <w:t>5910605950</w:t>
            </w:r>
          </w:p>
        </w:tc>
        <w:tc>
          <w:tcPr>
            <w:tcW w:w="1073" w:type="dxa"/>
            <w:vAlign w:val="center"/>
          </w:tcPr>
          <w:p w14:paraId="57EDEB9F">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4480342B">
            <w:pPr>
              <w:adjustRightInd w:val="0"/>
              <w:ind w:firstLine="480"/>
              <w:jc w:val="center"/>
              <w:rPr>
                <w:rFonts w:eastAsia="方正仿宋简体"/>
              </w:rPr>
            </w:pPr>
            <w:r>
              <w:rPr>
                <w:rFonts w:hint="eastAsia" w:eastAsia="仿宋_GB2312"/>
                <w:lang w:val="en-US"/>
              </w:rPr>
              <w:t>1</w:t>
            </w:r>
            <w:r>
              <w:rPr>
                <w:rFonts w:eastAsia="仿宋_GB2312"/>
                <w:lang w:val="en-US"/>
              </w:rPr>
              <w:t>5910605950</w:t>
            </w:r>
          </w:p>
        </w:tc>
      </w:tr>
    </w:tbl>
    <w:p w14:paraId="536FC67D">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C57E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9E100C5">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选题题目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1F96BC">
            <w:pPr>
              <w:adjustRightInd w:val="0"/>
              <w:snapToGrid w:val="0"/>
              <w:ind w:firstLine="480" w:firstLineChars="200"/>
              <w:jc w:val="both"/>
              <w:rPr>
                <w:rFonts w:ascii="仿宋_GB2312" w:hAnsi="仿宋_GB2312" w:eastAsia="仿宋_GB2312" w:cs="仿宋_GB2312"/>
                <w:color w:val="000000"/>
              </w:rPr>
            </w:pPr>
            <w:r>
              <w:rPr>
                <w:rFonts w:hint="eastAsia" w:eastAsia="仿宋_GB2312"/>
              </w:rPr>
              <w:t>面向我国边疆地区的国产商业卫星遥感智能解译基础模型</w:t>
            </w:r>
          </w:p>
        </w:tc>
      </w:tr>
      <w:tr w14:paraId="55A7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EA07AB">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058C69A">
            <w:pPr>
              <w:adjustRightInd w:val="0"/>
              <w:snapToGrid w:val="0"/>
              <w:ind w:firstLine="480" w:firstLineChars="200"/>
              <w:jc w:val="both"/>
              <w:rPr>
                <w:rFonts w:ascii="仿宋_GB2312" w:hAnsi="仿宋_GB2312" w:eastAsia="仿宋_GB2312" w:cs="仿宋_GB2312"/>
                <w:color w:val="000000"/>
              </w:rPr>
            </w:pPr>
            <w:r>
              <w:rPr>
                <w:rFonts w:hint="eastAsia" w:eastAsia="仿宋_GB2312"/>
                <w:lang w:val="en-US"/>
              </w:rPr>
              <w:t>航空航天</w:t>
            </w:r>
          </w:p>
        </w:tc>
      </w:tr>
      <w:tr w14:paraId="7A27C3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DEF523">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502674">
            <w:pPr>
              <w:overflowPunct w:val="0"/>
              <w:adjustRightInd w:val="0"/>
              <w:snapToGrid w:val="0"/>
              <w:ind w:firstLine="480" w:firstLineChars="200"/>
              <w:rPr>
                <w:rFonts w:eastAsia="仿宋_GB2312"/>
              </w:rPr>
            </w:pPr>
            <w:r>
              <w:rPr>
                <w:rFonts w:hint="eastAsia" w:eastAsia="仿宋_GB2312"/>
              </w:rPr>
              <w:t>随着社会经济的快速发展，商业卫星遥感技术在国土资源管理、灾害应急响应、能源设施监测等领域的应用日益广泛。与此同时，我国对边疆地区的建设投入力度加大，更加突显了针对边疆地区资源利用、灾害等方面进行解译与分析的重要性。</w:t>
            </w:r>
          </w:p>
          <w:p w14:paraId="6A937DCB">
            <w:pPr>
              <w:overflowPunct w:val="0"/>
              <w:adjustRightInd w:val="0"/>
              <w:snapToGrid w:val="0"/>
              <w:ind w:firstLine="480" w:firstLineChars="200"/>
              <w:rPr>
                <w:rFonts w:ascii="仿宋_GB2312" w:hAnsi="仿宋_GB2312" w:eastAsia="仿宋_GB2312" w:cs="仿宋_GB2312"/>
                <w:bCs/>
                <w:color w:val="000000"/>
                <w:spacing w:val="6"/>
                <w:szCs w:val="28"/>
                <w:lang w:val="en-US"/>
              </w:rPr>
            </w:pPr>
            <w:r>
              <w:rPr>
                <w:rFonts w:hint="eastAsia" w:eastAsia="仿宋_GB2312"/>
              </w:rPr>
              <w:t>本赛题旨在构建一个面向我国边疆地区、针对国产商业卫星开发的，具备资源探查、环境感知等能力的遥感智能解译基础模型。参赛选手需将深度学习与传统图像处理技术相结合，实现多种遥感解译任务，包括但不限于土地利用分割、耕地检测、受灾区域制图、能源设施检测等，能够在大范围遥感图像内识别和提取关键信息。选手需结合自身专业优势，探索并研发出具备创新性的解决方案，为遥感基础模型的实际落地应用提供技术支持，切实推动我国边疆地区的高质量发展。</w:t>
            </w:r>
          </w:p>
        </w:tc>
      </w:tr>
      <w:tr w14:paraId="6CADC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76A576">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8FBA1D">
            <w:pPr>
              <w:overflowPunct w:val="0"/>
              <w:adjustRightInd w:val="0"/>
              <w:snapToGrid w:val="0"/>
              <w:ind w:firstLine="480" w:firstLineChars="200"/>
              <w:rPr>
                <w:rFonts w:eastAsia="仿宋_GB2312"/>
              </w:rPr>
            </w:pPr>
            <w:r>
              <w:rPr>
                <w:rFonts w:hint="eastAsia" w:eastAsia="仿宋_GB2312"/>
              </w:rPr>
              <w:t>提报形式：以个人或团队形式参赛均可，每个团队不超过</w:t>
            </w:r>
            <w:r>
              <w:rPr>
                <w:rFonts w:eastAsia="仿宋_GB2312"/>
              </w:rPr>
              <w:t>3</w:t>
            </w:r>
            <w:r>
              <w:rPr>
                <w:rFonts w:hint="eastAsia" w:eastAsia="仿宋_GB2312"/>
              </w:rPr>
              <w:t>人，提交作品方案一份，包含演示和测试验证视频。</w:t>
            </w:r>
          </w:p>
          <w:p w14:paraId="5EE3A56D">
            <w:pPr>
              <w:overflowPunct w:val="0"/>
              <w:adjustRightInd w:val="0"/>
              <w:snapToGrid w:val="0"/>
              <w:ind w:firstLine="480" w:firstLineChars="200"/>
              <w:rPr>
                <w:rFonts w:eastAsia="仿宋_GB2312"/>
              </w:rPr>
            </w:pPr>
            <w:r>
              <w:rPr>
                <w:rFonts w:hint="eastAsia" w:eastAsia="仿宋_GB2312"/>
              </w:rPr>
              <w:t>提报时间：</w:t>
            </w:r>
            <w:r>
              <w:rPr>
                <w:rFonts w:eastAsia="仿宋_GB2312"/>
              </w:rPr>
              <w:t>202</w:t>
            </w:r>
            <w:r>
              <w:rPr>
                <w:rFonts w:hint="eastAsia" w:eastAsia="仿宋_GB2312"/>
              </w:rPr>
              <w:t>6年</w:t>
            </w:r>
            <w:r>
              <w:rPr>
                <w:rFonts w:eastAsia="仿宋_GB2312"/>
              </w:rPr>
              <w:t>4</w:t>
            </w:r>
            <w:r>
              <w:rPr>
                <w:rFonts w:hint="eastAsia" w:eastAsia="仿宋_GB2312"/>
              </w:rPr>
              <w:t>月</w:t>
            </w:r>
            <w:r>
              <w:rPr>
                <w:rFonts w:eastAsia="仿宋_GB2312"/>
              </w:rPr>
              <w:t>15</w:t>
            </w:r>
            <w:r>
              <w:rPr>
                <w:rFonts w:hint="eastAsia" w:eastAsia="仿宋_GB2312"/>
              </w:rPr>
              <w:t>日</w:t>
            </w:r>
            <w:r>
              <w:rPr>
                <w:rFonts w:eastAsia="仿宋_GB2312"/>
              </w:rPr>
              <w:t>-5</w:t>
            </w:r>
            <w:r>
              <w:rPr>
                <w:rFonts w:hint="eastAsia" w:eastAsia="仿宋_GB2312"/>
              </w:rPr>
              <w:t>月</w:t>
            </w:r>
            <w:r>
              <w:rPr>
                <w:rFonts w:eastAsia="仿宋_GB2312"/>
              </w:rPr>
              <w:t>15</w:t>
            </w:r>
            <w:r>
              <w:rPr>
                <w:rFonts w:hint="eastAsia" w:eastAsia="仿宋_GB2312"/>
              </w:rPr>
              <w:t>日，评选时间暂定2026年</w:t>
            </w:r>
            <w:r>
              <w:rPr>
                <w:rFonts w:eastAsia="仿宋_GB2312"/>
              </w:rPr>
              <w:t>6</w:t>
            </w:r>
            <w:r>
              <w:rPr>
                <w:rFonts w:hint="eastAsia" w:eastAsia="仿宋_GB2312"/>
              </w:rPr>
              <w:t>月。</w:t>
            </w:r>
          </w:p>
          <w:p w14:paraId="0FB4DC5A">
            <w:pPr>
              <w:adjustRightInd w:val="0"/>
              <w:snapToGrid w:val="0"/>
              <w:ind w:firstLine="480" w:firstLineChars="200"/>
              <w:rPr>
                <w:rFonts w:ascii="仿宋_GB2312" w:hAnsi="仿宋_GB2312" w:eastAsia="仿宋_GB2312" w:cs="仿宋_GB2312"/>
                <w:color w:val="000000"/>
              </w:rPr>
            </w:pPr>
            <w:r>
              <w:rPr>
                <w:rFonts w:hint="eastAsia" w:eastAsia="仿宋_GB2312"/>
              </w:rPr>
              <w:t>提报要求：作品方案需阐明团队简介、技术来源、技术路线、技术创新、技术优势、技术预期实现效益及技术可应用性等；作品需切合题目针对我国边疆地区特点设计，并力争在国产商用卫星上验证。</w:t>
            </w:r>
          </w:p>
        </w:tc>
      </w:tr>
      <w:tr w14:paraId="023BE5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E0C94E">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作品评审</w:t>
            </w:r>
          </w:p>
          <w:p w14:paraId="2CABFC86">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A6116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通过PPT答辩形式进行线下或线上评选，由评审专家从技术创新性、技术预期效益、技术可应用性及团队实力等方面进行评选。</w:t>
            </w:r>
          </w:p>
        </w:tc>
      </w:tr>
      <w:tr w14:paraId="537AF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903BD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A3ABE0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无。</w:t>
            </w:r>
          </w:p>
        </w:tc>
      </w:tr>
    </w:tbl>
    <w:p w14:paraId="5995C6AB">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CCA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036"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3F4A615">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保障措施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E1C978A">
            <w:pPr>
              <w:adjustRightInd w:val="0"/>
              <w:snapToGrid w:val="0"/>
              <w:ind w:firstLine="480" w:firstLineChars="200"/>
              <w:jc w:val="both"/>
              <w:rPr>
                <w:rFonts w:ascii="仿宋_GB2312" w:hAnsi="仿宋_GB2312" w:eastAsia="仿宋_GB2312" w:cs="仿宋_GB2312"/>
                <w:bCs/>
                <w:color w:val="000000"/>
                <w:spacing w:val="6"/>
                <w:szCs w:val="28"/>
              </w:rPr>
            </w:pPr>
            <w:r>
              <w:rPr>
                <w:rFonts w:hint="eastAsia" w:eastAsia="仿宋_GB2312"/>
                <w:lang w:val="en-US"/>
              </w:rPr>
              <w:t>2026年4月-5月期间，可为参赛团队集中组织1次线上技术交流沟通会，帮助参赛团队更好的了解参赛题目；整个参赛期间，为参赛团队提供专门指导人员，解及帮助其协调参赛过程的相关问题。</w:t>
            </w:r>
          </w:p>
        </w:tc>
      </w:tr>
      <w:tr w14:paraId="1AC6C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767"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652DE7">
            <w:pPr>
              <w:adjustRightInd w:val="0"/>
              <w:snapToGrid w:val="0"/>
              <w:spacing w:line="560" w:lineRule="exact"/>
              <w:jc w:val="center"/>
              <w:rPr>
                <w:rFonts w:ascii="楷体_GB2312" w:hAnsi="楷体_GB2312" w:eastAsia="楷体_GB2312" w:cs="楷体_GB2312"/>
                <w:color w:val="000000"/>
                <w:sz w:val="28"/>
                <w:szCs w:val="28"/>
                <w:lang w:val="en-US"/>
              </w:rPr>
            </w:pPr>
            <w:r>
              <w:rPr>
                <w:rFonts w:hint="eastAsia" w:ascii="楷体_GB2312" w:hAnsi="楷体_GB2312" w:eastAsia="楷体_GB2312" w:cs="楷体_GB2312"/>
                <w:color w:val="000000"/>
                <w:sz w:val="28"/>
                <w:szCs w:val="28"/>
                <w:lang w:val="en-US"/>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D3C62D">
            <w:pPr>
              <w:adjustRightInd w:val="0"/>
              <w:snapToGrid w:val="0"/>
              <w:ind w:firstLine="480" w:firstLineChars="200"/>
              <w:jc w:val="both"/>
              <w:rPr>
                <w:rFonts w:hint="eastAsia" w:eastAsia="仿宋_GB2312"/>
                <w:lang w:val="en-US"/>
              </w:rPr>
            </w:pPr>
            <w:r>
              <w:rPr>
                <w:rFonts w:hint="eastAsia" w:eastAsia="仿宋_GB2312"/>
                <w:lang w:val="en-US"/>
              </w:rPr>
              <w:t>一、奖项设置</w:t>
            </w:r>
          </w:p>
          <w:p w14:paraId="7EE98400">
            <w:pPr>
              <w:adjustRightInd w:val="0"/>
              <w:snapToGrid w:val="0"/>
              <w:ind w:firstLine="480" w:firstLineChars="200"/>
              <w:jc w:val="both"/>
              <w:rPr>
                <w:rFonts w:hint="eastAsia" w:eastAsia="仿宋_GB2312"/>
                <w:lang w:val="en-US"/>
              </w:rPr>
            </w:pPr>
            <w:r>
              <w:rPr>
                <w:rFonts w:hint="eastAsia" w:eastAsia="仿宋_GB2312"/>
                <w:lang w:val="en-US" w:eastAsia="zh-CN"/>
              </w:rPr>
              <w:t>原则上设“擂主”团队1个，</w:t>
            </w:r>
            <w:r>
              <w:rPr>
                <w:rFonts w:hint="eastAsia" w:eastAsia="仿宋_GB2312"/>
                <w:lang w:val="en-US"/>
              </w:rPr>
              <w:t>根据实际情况评出相应的特等奖、一等奖、二等奖、三等奖项目若干。</w:t>
            </w:r>
          </w:p>
          <w:p w14:paraId="77B210BB">
            <w:pPr>
              <w:adjustRightInd w:val="0"/>
              <w:snapToGrid w:val="0"/>
              <w:ind w:firstLine="480" w:firstLineChars="200"/>
              <w:jc w:val="both"/>
              <w:rPr>
                <w:rFonts w:hint="eastAsia" w:eastAsia="仿宋_GB2312"/>
                <w:lang w:val="en-US"/>
              </w:rPr>
            </w:pPr>
            <w:r>
              <w:rPr>
                <w:rFonts w:hint="eastAsia" w:eastAsia="仿宋_GB2312"/>
                <w:lang w:val="en-US"/>
              </w:rPr>
              <w:t>二、 激励措施</w:t>
            </w:r>
          </w:p>
          <w:p w14:paraId="1845FD2F">
            <w:pPr>
              <w:adjustRightInd w:val="0"/>
              <w:snapToGrid w:val="0"/>
              <w:ind w:firstLine="480" w:firstLineChars="200"/>
              <w:jc w:val="both"/>
              <w:rPr>
                <w:rFonts w:hint="eastAsia" w:eastAsia="仿宋_GB2312"/>
                <w:lang w:val="en-US"/>
              </w:rPr>
            </w:pPr>
            <w:r>
              <w:rPr>
                <w:rFonts w:hint="eastAsia" w:eastAsia="仿宋_GB2312"/>
                <w:lang w:val="en-US" w:eastAsia="zh-CN"/>
              </w:rPr>
              <w:t>1.</w:t>
            </w:r>
            <w:r>
              <w:rPr>
                <w:rFonts w:hint="eastAsia" w:eastAsia="仿宋_GB2312"/>
                <w:lang w:val="en-US"/>
              </w:rPr>
              <w:t>提供与相关行业企业的深度合作和创业实践机会，帮助团队将项目转化为实际应用。</w:t>
            </w:r>
          </w:p>
          <w:p w14:paraId="60E0FBF1">
            <w:pPr>
              <w:adjustRightInd w:val="0"/>
              <w:snapToGrid w:val="0"/>
              <w:ind w:firstLine="480" w:firstLineChars="200"/>
              <w:jc w:val="both"/>
              <w:rPr>
                <w:rFonts w:ascii="仿宋_GB2312" w:hAnsi="仿宋_GB2312" w:eastAsia="仿宋_GB2312" w:cs="仿宋_GB2312"/>
                <w:bCs/>
                <w:color w:val="000000"/>
                <w:spacing w:val="6"/>
                <w:szCs w:val="28"/>
                <w:lang w:val="en-US"/>
              </w:rPr>
            </w:pPr>
            <w:r>
              <w:rPr>
                <w:rFonts w:hint="eastAsia" w:eastAsia="仿宋_GB2312"/>
                <w:lang w:val="en-US" w:eastAsia="zh-CN"/>
              </w:rPr>
              <w:t>2.</w:t>
            </w:r>
            <w:r>
              <w:rPr>
                <w:rFonts w:hint="eastAsia" w:eastAsia="仿宋_GB2312"/>
                <w:lang w:val="en-US"/>
              </w:rPr>
              <w:t>颁发奖杯和证书，在宣传推广、培训指导、交流展示人才招聘、创投对接等方面给予优先扶持。</w:t>
            </w:r>
          </w:p>
        </w:tc>
      </w:tr>
    </w:tbl>
    <w:p w14:paraId="539BEE05">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4333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BDE8A64">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5487D6">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本项目致力于突破国产商业卫星遥感在边疆地区复杂环境下自动化程度低、模型泛化性差的技术难题。针对边疆地区幅员辽阔、地形复杂、地物异质性强等挑战，研发适配不同下游应用的遥感解译基础模型，将改变针对单一任务训练专家模型的研发范式。这一技术突破不仅能显著提升当前遥感解译模型在边疆稀缺场景下的鲁棒性，更可为实现遥感领域的全产业链自主可控与智能升级提供关键算法支撑。</w:t>
            </w:r>
          </w:p>
        </w:tc>
      </w:tr>
      <w:tr w14:paraId="7E6B3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0C01F6">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2217AC">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eastAsia="仿宋_GB2312"/>
              </w:rPr>
              <w:t>在经济层面，通过建立高效的商业卫星遥感智能解译体系，可极大降低边疆地区资源勘探、能源监测的人力物力投入，提升国产商业卫星数据的附加值，带动我国商业航天产业向高价值链延伸。在社会层面，本项目能够为我国边疆地区基础设施保护、突发地质灾害应急响应及生态环境常态化监测提供精准的决策依据，对维护国家主权安全、助力边疆地区高质量发展以及推动区域协调发展战略具有深远的现实意义。</w:t>
            </w:r>
          </w:p>
        </w:tc>
      </w:tr>
    </w:tbl>
    <w:p w14:paraId="76ACC22E">
      <w:pPr>
        <w:rPr>
          <w:rFonts w:hint="eastAsia" w:ascii="楷体_GB2312" w:hAnsi="楷体_GB2312" w:eastAsia="楷体_GB2312" w:cs="楷体_GB2312"/>
        </w:rPr>
      </w:pPr>
      <w:r>
        <w:rPr>
          <w:rFonts w:hint="eastAsia" w:ascii="楷体_GB2312" w:hAnsi="楷体_GB2312" w:eastAsia="楷体_GB2312" w:cs="楷体_GB2312"/>
        </w:rPr>
        <w:br w:type="page"/>
      </w:r>
    </w:p>
    <w:p w14:paraId="48DFFC82">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3A75DC1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4</w:t>
      </w:r>
    </w:p>
    <w:p w14:paraId="1FD0A36F">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2D9166A9">
      <w:pPr>
        <w:tabs>
          <w:tab w:val="left" w:pos="8640"/>
        </w:tabs>
        <w:adjustRightInd w:val="0"/>
        <w:snapToGrid w:val="0"/>
        <w:spacing w:line="560" w:lineRule="exact"/>
        <w:rPr>
          <w:rFonts w:hint="eastAsia" w:ascii="方正楷体简体" w:hAnsi="方正楷体简体" w:eastAsia="方正楷体简体" w:cs="方正楷体简体"/>
          <w:bCs/>
          <w:spacing w:val="6"/>
          <w:highlight w:val="none"/>
        </w:rPr>
      </w:pPr>
      <w:r>
        <w:rPr>
          <w:rFonts w:hint="eastAsia" w:ascii="方正黑体简体" w:eastAsia="方正黑体简体"/>
          <w:bCs/>
          <w:spacing w:val="6"/>
          <w:sz w:val="32"/>
          <w:szCs w:val="32"/>
          <w:highlight w:val="none"/>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C5A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2CA40C4">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单位名称</w:t>
            </w:r>
          </w:p>
        </w:tc>
        <w:tc>
          <w:tcPr>
            <w:tcW w:w="6932" w:type="dxa"/>
            <w:gridSpan w:val="3"/>
            <w:vAlign w:val="center"/>
          </w:tcPr>
          <w:p w14:paraId="068FD44A">
            <w:pPr>
              <w:adjustRightInd w:val="0"/>
              <w:snapToGrid w:val="0"/>
              <w:jc w:val="center"/>
              <w:rPr>
                <w:rFonts w:hint="eastAsia" w:ascii="仿宋_GB2312" w:hAnsi="仿宋_GB2312" w:eastAsia="仿宋_GB2312" w:cs="仿宋_GB2312"/>
                <w:highlight w:val="none"/>
              </w:rPr>
            </w:pPr>
            <w:r>
              <w:rPr>
                <w:rFonts w:ascii="仿宋_GB2312" w:hAnsi="仿宋_GB2312" w:eastAsia="仿宋_GB2312" w:cs="仿宋_GB2312"/>
                <w:bCs/>
                <w:spacing w:val="6"/>
                <w:szCs w:val="28"/>
                <w:highlight w:val="none"/>
                <w:lang w:val="en-US"/>
              </w:rPr>
              <w:t>北京国天事业气象科技有限公司</w:t>
            </w:r>
          </w:p>
        </w:tc>
      </w:tr>
      <w:tr w14:paraId="50A1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07DF1FF">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单位类型</w:t>
            </w:r>
          </w:p>
        </w:tc>
        <w:tc>
          <w:tcPr>
            <w:tcW w:w="6932" w:type="dxa"/>
            <w:gridSpan w:val="3"/>
            <w:vAlign w:val="center"/>
          </w:tcPr>
          <w:p w14:paraId="7AA8472D">
            <w:pPr>
              <w:adjustRightInd w:val="0"/>
              <w:snapToGrid w:val="0"/>
              <w:jc w:val="center"/>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国有企业</w:t>
            </w:r>
          </w:p>
        </w:tc>
      </w:tr>
      <w:tr w14:paraId="01D8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72E5D83F">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地址</w:t>
            </w:r>
          </w:p>
        </w:tc>
        <w:tc>
          <w:tcPr>
            <w:tcW w:w="6932" w:type="dxa"/>
            <w:gridSpan w:val="3"/>
            <w:vAlign w:val="center"/>
          </w:tcPr>
          <w:p w14:paraId="2386F110">
            <w:pPr>
              <w:adjustRightInd w:val="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北京市昌平区振兴路2号院</w:t>
            </w:r>
          </w:p>
        </w:tc>
      </w:tr>
      <w:tr w14:paraId="7EFC5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9891136">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lang w:val="en-US"/>
              </w:rPr>
              <w:t>单位</w:t>
            </w:r>
            <w:r>
              <w:rPr>
                <w:rFonts w:hint="eastAsia" w:ascii="楷体_GB2312" w:hAnsi="楷体_GB2312" w:eastAsia="楷体_GB2312" w:cs="楷体_GB2312"/>
                <w:sz w:val="28"/>
                <w:szCs w:val="32"/>
                <w:highlight w:val="none"/>
              </w:rPr>
              <w:t>简介</w:t>
            </w:r>
          </w:p>
        </w:tc>
        <w:tc>
          <w:tcPr>
            <w:tcW w:w="6932" w:type="dxa"/>
            <w:gridSpan w:val="3"/>
            <w:vAlign w:val="center"/>
          </w:tcPr>
          <w:p w14:paraId="2493F641">
            <w:pPr>
              <w:adjustRightInd w:val="0"/>
              <w:snapToGrid w:val="0"/>
              <w:jc w:val="both"/>
              <w:rPr>
                <w:rFonts w:hint="eastAsia" w:ascii="仿宋_GB2312" w:hAnsi="仿宋_GB2312" w:eastAsia="仿宋_GB2312" w:cs="仿宋_GB2312"/>
                <w:bCs/>
                <w:spacing w:val="6"/>
                <w:szCs w:val="28"/>
                <w:highlight w:val="none"/>
              </w:rPr>
            </w:pPr>
            <w:r>
              <w:rPr>
                <w:rFonts w:hint="eastAsia" w:ascii="仿宋_GB2312" w:hAnsi="仿宋_GB2312" w:eastAsia="仿宋_GB2312" w:cs="仿宋_GB2312"/>
                <w:bCs/>
                <w:spacing w:val="6"/>
                <w:szCs w:val="28"/>
                <w:highlight w:val="none"/>
                <w:lang w:val="en-US"/>
              </w:rPr>
              <w:t>中国气象科技产业园于2013年由中国气象局和北京市人民政府合作共建。运营主体为北京国天事业气象科技有限公司，归属中国气象局下属国有企业华风气象传媒集团有限责任公司管理，主要承担中国气象科技产业园资产运营管理工作。园区位于北京市昌平区振兴路2号院，占地2.5万m，总建筑面积约5.9万m。共有5栋办公楼，其中地上共八层，面积4.4万m;地下一层，面积1.5万m。园区公共服务配套有气象产业孵化中心、商务洽谈中心、健身中心、职工餐厅、停车场，公共服务面积约6200m2。园区通过招商引资和招才引智，已初步完成产业聚集和资源融合，未来将以孵化转化为核心，促进气象科技创新成果应用推广和产学研融合发展，为气象科技产业发展注入新动能。同时园区将一如既往持续深耕气象科技服务领域，发挥气象工作的基础性支撑作用，以气象产业服务为平台，打造融合、开放、共享的气象+产业生态圈，助推气象产业转型升级和气象高质量发展。截止目前，园区整体入住率94%，入驻企业80余家，国家级专精特新小巨人企业1家，北京市专精特新中小企业5家，瞪羚企业9家，国家级高新技术企业24家，中关村高新技术企业16家。</w:t>
            </w:r>
          </w:p>
        </w:tc>
      </w:tr>
      <w:tr w14:paraId="7398F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F47F774">
            <w:pPr>
              <w:adjustRightInd w:val="0"/>
              <w:snapToGrid w:val="0"/>
              <w:ind w:firstLine="280" w:firstLineChars="100"/>
              <w:jc w:val="both"/>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031A75C1">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刘勇</w:t>
            </w:r>
          </w:p>
        </w:tc>
        <w:tc>
          <w:tcPr>
            <w:tcW w:w="1073" w:type="dxa"/>
            <w:vAlign w:val="center"/>
          </w:tcPr>
          <w:p w14:paraId="61A1D339">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3C61B6D0">
            <w:pPr>
              <w:adjustRightInd w:val="0"/>
              <w:jc w:val="center"/>
              <w:rPr>
                <w:rFonts w:hint="eastAsia" w:eastAsia="方正仿宋简体"/>
                <w:highlight w:val="none"/>
                <w:lang w:val="en-US" w:eastAsia="zh-CN"/>
              </w:rPr>
            </w:pPr>
            <w:r>
              <w:rPr>
                <w:rFonts w:hint="eastAsia" w:eastAsia="方正仿宋简体"/>
                <w:highlight w:val="none"/>
                <w:lang w:val="en-US" w:eastAsia="zh-CN"/>
              </w:rPr>
              <w:t>总经理</w:t>
            </w:r>
          </w:p>
        </w:tc>
      </w:tr>
      <w:tr w14:paraId="2CBC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411C56C">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7C0FF711">
            <w:pPr>
              <w:adjustRightInd w:val="0"/>
              <w:snapToGrid w:val="0"/>
              <w:jc w:val="both"/>
              <w:rPr>
                <w:rFonts w:hint="default"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13911058851</w:t>
            </w:r>
          </w:p>
        </w:tc>
        <w:tc>
          <w:tcPr>
            <w:tcW w:w="1073" w:type="dxa"/>
            <w:vAlign w:val="center"/>
          </w:tcPr>
          <w:p w14:paraId="1E1D0C23">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5A3F7956">
            <w:pPr>
              <w:adjustRightInd w:val="0"/>
              <w:jc w:val="center"/>
              <w:rPr>
                <w:rFonts w:eastAsia="方正仿宋简体"/>
                <w:highlight w:val="none"/>
              </w:rPr>
            </w:pPr>
          </w:p>
        </w:tc>
      </w:tr>
    </w:tbl>
    <w:p w14:paraId="1D6AB17C">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7D46B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E09D7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F14D40">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多尺度地貌监测系统设计</w:t>
            </w:r>
          </w:p>
        </w:tc>
      </w:tr>
      <w:tr w14:paraId="2C066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109928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A582DB6">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新一代信息技术、人工智能</w:t>
            </w:r>
          </w:p>
        </w:tc>
      </w:tr>
      <w:tr w14:paraId="15E5A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65"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6AF39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F570DD8">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1 </w:t>
            </w:r>
            <w:r>
              <w:rPr>
                <w:rFonts w:hint="eastAsia" w:ascii="仿宋_GB2312" w:hAnsi="仿宋_GB2312" w:eastAsia="仿宋_GB2312" w:cs="仿宋_GB2312"/>
                <w:bCs/>
                <w:color w:val="000000"/>
                <w:spacing w:val="6"/>
                <w:szCs w:val="28"/>
                <w:lang w:val="en-US"/>
              </w:rPr>
              <w:t>选题背景</w:t>
            </w:r>
          </w:p>
          <w:p w14:paraId="69BAE697">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全球气候变化加剧、城市化进程快速推进以及重大工程建设的广泛开展，地表形态正经历前所未有的剧烈变化。滑坡、泥石流、地面沉降、海岸侵蚀等地质灾害频发，对人民生命财产安全、重大基础设施运营和生态环境安全构成严重威胁。传统的地貌监测手段多依赖单点测量、周期性人工巡查或单一遥感平台，存在监测尺度单一、时空分辨率不足、实时性差、自动化程度低等突出问题，难以满足对地貌过程“全天候、全覆盖、全要素、高精度、智能化”的现代化监测预警需求。因此，亟需设计一套集成天基（卫星）、空基（无人机</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航空）、地基（传感器网络）等多平台，融合多源遥感、物联网、人工智能等前沿技术的“多尺度地貌监测系统”，实现对地表形变与地貌过程的立体、动态、智能感知。</w:t>
            </w:r>
          </w:p>
          <w:p w14:paraId="422D27D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核心需求</w:t>
            </w:r>
          </w:p>
          <w:p w14:paraId="595F308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多尺度融合需求：系统需无缝衔接宏观区域（百公里级，如流域、城市群）、中观局部（公里至十公里级，如重点边坡、矿区）和微观点位（米级，如单个裂缝、桩基）的监测数据，实现从面到点的精准聚焦与关联分析。</w:t>
            </w:r>
          </w:p>
          <w:p w14:paraId="33D5DD26">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多源数据协同需求：需综合利用</w:t>
            </w:r>
            <w:r>
              <w:rPr>
                <w:rFonts w:ascii="仿宋_GB2312" w:hAnsi="仿宋_GB2312" w:eastAsia="仿宋_GB2312" w:cs="仿宋_GB2312"/>
                <w:bCs/>
                <w:color w:val="000000"/>
                <w:spacing w:val="6"/>
                <w:szCs w:val="28"/>
                <w:lang w:val="en-US"/>
              </w:rPr>
              <w:t>InSAR</w:t>
            </w:r>
            <w:r>
              <w:rPr>
                <w:rFonts w:hint="eastAsia" w:ascii="仿宋_GB2312" w:hAnsi="仿宋_GB2312" w:eastAsia="仿宋_GB2312" w:cs="仿宋_GB2312"/>
                <w:bCs/>
                <w:color w:val="000000"/>
                <w:spacing w:val="6"/>
                <w:szCs w:val="28"/>
                <w:lang w:val="en-US"/>
              </w:rPr>
              <w:t>（干涉合成孔径雷达）、光学遥感、激光雷达（</w:t>
            </w:r>
            <w:r>
              <w:rPr>
                <w:rFonts w:ascii="仿宋_GB2312" w:hAnsi="仿宋_GB2312" w:eastAsia="仿宋_GB2312" w:cs="仿宋_GB2312"/>
                <w:bCs/>
                <w:color w:val="000000"/>
                <w:spacing w:val="6"/>
                <w:szCs w:val="28"/>
                <w:lang w:val="en-US"/>
              </w:rPr>
              <w:t>LiDAR</w:t>
            </w:r>
            <w:r>
              <w:rPr>
                <w:rFonts w:hint="eastAsia" w:ascii="仿宋_GB2312" w:hAnsi="仿宋_GB2312" w:eastAsia="仿宋_GB2312" w:cs="仿宋_GB2312"/>
                <w:bCs/>
                <w:color w:val="000000"/>
                <w:spacing w:val="6"/>
                <w:szCs w:val="28"/>
                <w:lang w:val="en-US"/>
              </w:rPr>
              <w:t>）、高精度</w:t>
            </w:r>
            <w:r>
              <w:rPr>
                <w:rFonts w:ascii="仿宋_GB2312" w:hAnsi="仿宋_GB2312" w:eastAsia="仿宋_GB2312" w:cs="仿宋_GB2312"/>
                <w:bCs/>
                <w:color w:val="000000"/>
                <w:spacing w:val="6"/>
                <w:szCs w:val="28"/>
                <w:lang w:val="en-US"/>
              </w:rPr>
              <w:t>GNSS</w:t>
            </w:r>
            <w:r>
              <w:rPr>
                <w:rFonts w:hint="eastAsia" w:ascii="仿宋_GB2312" w:hAnsi="仿宋_GB2312" w:eastAsia="仿宋_GB2312" w:cs="仿宋_GB2312"/>
                <w:bCs/>
                <w:color w:val="000000"/>
                <w:spacing w:val="6"/>
                <w:szCs w:val="28"/>
                <w:lang w:val="en-US"/>
              </w:rPr>
              <w:t>、倾斜摄影、地基雷达、传感器网络（如裂缝计、位移计）等多源异构数据，解决数据融合与一致性难题。</w:t>
            </w:r>
          </w:p>
          <w:p w14:paraId="2E91CB6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实时智能预警需求：</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需建立高效的“数据采集</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传输</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处理</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分析</w:t>
            </w:r>
            <w:r>
              <w:rPr>
                <w:rFonts w:ascii="仿宋_GB2312" w:hAnsi="仿宋_GB2312" w:eastAsia="仿宋_GB2312" w:cs="仿宋_GB2312"/>
                <w:bCs/>
                <w:color w:val="000000"/>
                <w:spacing w:val="6"/>
                <w:szCs w:val="28"/>
                <w:lang w:val="en-US"/>
              </w:rPr>
              <w:t>-</w:t>
            </w:r>
            <w:r>
              <w:rPr>
                <w:rFonts w:hint="eastAsia" w:ascii="仿宋_GB2312" w:hAnsi="仿宋_GB2312" w:eastAsia="仿宋_GB2312" w:cs="仿宋_GB2312"/>
                <w:bCs/>
                <w:color w:val="000000"/>
                <w:spacing w:val="6"/>
                <w:szCs w:val="28"/>
                <w:lang w:val="en-US"/>
              </w:rPr>
              <w:t>预警”流水线，利用边缘计算、云计算和</w:t>
            </w:r>
            <w:r>
              <w:rPr>
                <w:rFonts w:ascii="仿宋_GB2312" w:hAnsi="仿宋_GB2312" w:eastAsia="仿宋_GB2312" w:cs="仿宋_GB2312"/>
                <w:bCs/>
                <w:color w:val="000000"/>
                <w:spacing w:val="6"/>
                <w:szCs w:val="28"/>
                <w:lang w:val="en-US"/>
              </w:rPr>
              <w:t>AI</w:t>
            </w:r>
            <w:r>
              <w:rPr>
                <w:rFonts w:hint="eastAsia" w:ascii="仿宋_GB2312" w:hAnsi="仿宋_GB2312" w:eastAsia="仿宋_GB2312" w:cs="仿宋_GB2312"/>
                <w:bCs/>
                <w:color w:val="000000"/>
                <w:spacing w:val="6"/>
                <w:szCs w:val="28"/>
                <w:lang w:val="en-US"/>
              </w:rPr>
              <w:t>算法（如深度学习变化检测、形变预测模型），实现近实时（关键区域小时级）的数据处理和风险预警。</w:t>
            </w:r>
          </w:p>
          <w:p w14:paraId="2A35FF86">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业务支撑与可视化需求：系统需面向自然资源监管、应急管理、交通运输、水利水电等不同行业用户，提供定制化数据分析模块和直观的二三维一体化可视化平台，支撑科学决策。</w:t>
            </w:r>
          </w:p>
          <w:p w14:paraId="749872DF">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应用场景</w:t>
            </w:r>
          </w:p>
          <w:p w14:paraId="177BC1E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地质灾害防治：对滑坡、崩塌、泥石流隐患点进行早期识别、持续监测与临灾预警。</w:t>
            </w:r>
          </w:p>
          <w:p w14:paraId="01C9D21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重大工程安全运维：监测水库大坝、高速铁路、跨海大桥、核电设施等周边地表稳定性。</w:t>
            </w:r>
          </w:p>
          <w:p w14:paraId="368DB823">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矿产资源开发监管：监测露天矿边坡稳定性、开采沉陷区范围与演变。</w:t>
            </w:r>
          </w:p>
          <w:p w14:paraId="75DDF340">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城市安全与国土空间规划：监测地面沉降、地裂缝，评估城市地下空间开发影响。</w:t>
            </w:r>
          </w:p>
          <w:p w14:paraId="4524DD1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生态环境保护：监测海岸线变迁、冰川消融、水土流失等生态地貌过程。</w:t>
            </w:r>
          </w:p>
        </w:tc>
      </w:tr>
      <w:tr w14:paraId="739E5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9B0B1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BD98120">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方案内容要求</w:t>
            </w:r>
          </w:p>
          <w:p w14:paraId="223B8D1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参赛方案需提交一套完整的</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《多尺度地貌监测系统设计方案》</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，至少应包括：</w:t>
            </w:r>
          </w:p>
          <w:p w14:paraId="61A10E8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总体架构设计：</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阐述系统的设计理念、逻辑架构（感知层、传输层、数据层、平台层、应用层）、技术路线与创新点。</w:t>
            </w:r>
          </w:p>
          <w:p w14:paraId="7AB793C7">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多尺度监测网络详细设计：</w:t>
            </w:r>
          </w:p>
          <w:p w14:paraId="6FAD3CB7">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天基监测子系统：卫星数据源选择、重访周期、处理流程设计。</w:t>
            </w:r>
          </w:p>
          <w:p w14:paraId="63FF296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空基监测子系统：无人机平台选型、任务规划、传感器配置（如多光谱、</w:t>
            </w:r>
            <w:r>
              <w:rPr>
                <w:rFonts w:ascii="仿宋_GB2312" w:hAnsi="仿宋_GB2312" w:eastAsia="仿宋_GB2312" w:cs="仿宋_GB2312"/>
                <w:bCs/>
                <w:color w:val="000000"/>
                <w:spacing w:val="6"/>
                <w:szCs w:val="28"/>
              </w:rPr>
              <w:t>LiDAR</w:t>
            </w:r>
            <w:r>
              <w:rPr>
                <w:rFonts w:hint="eastAsia" w:ascii="仿宋_GB2312" w:hAnsi="仿宋_GB2312" w:eastAsia="仿宋_GB2312" w:cs="仿宋_GB2312"/>
                <w:bCs/>
                <w:color w:val="000000"/>
                <w:spacing w:val="6"/>
                <w:szCs w:val="28"/>
              </w:rPr>
              <w:t>）、数据处理流程。</w:t>
            </w:r>
          </w:p>
          <w:p w14:paraId="4EE3FDB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地基监测子系统：传感器类型选型与布设策略、物联网组网方案、边缘计算节点设计。</w:t>
            </w:r>
          </w:p>
          <w:p w14:paraId="1B88BF7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核心算法与模型设计：重点说明多源时空数据融合方法、地表形变信息提取算法（如时序</w:t>
            </w:r>
            <w:r>
              <w:rPr>
                <w:rFonts w:ascii="仿宋_GB2312" w:hAnsi="仿宋_GB2312" w:eastAsia="仿宋_GB2312" w:cs="仿宋_GB2312"/>
                <w:bCs/>
                <w:color w:val="000000"/>
                <w:spacing w:val="6"/>
                <w:szCs w:val="28"/>
              </w:rPr>
              <w:t>InSAR</w:t>
            </w:r>
            <w:r>
              <w:rPr>
                <w:rFonts w:hint="eastAsia" w:ascii="仿宋_GB2312" w:hAnsi="仿宋_GB2312" w:eastAsia="仿宋_GB2312" w:cs="仿宋_GB2312"/>
                <w:bCs/>
                <w:color w:val="000000"/>
                <w:spacing w:val="6"/>
                <w:szCs w:val="28"/>
              </w:rPr>
              <w:t>、点云对比）、地貌变化</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识别模型、风险评估与预测模型等至少两项关键算法</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模型的原理与实现路径。</w:t>
            </w:r>
          </w:p>
          <w:p w14:paraId="68258F8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系统平台与功能设计：描述软件平台的功能模块（如数据管理、智能解译、分析模拟、预警发布、三维展示）、用户界面构想及与其他系统的集成接口。</w:t>
            </w:r>
          </w:p>
          <w:p w14:paraId="0400AF8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原型系统演示验证方案：提出一个针对特定应用场景（如某滑坡隐患点）的原型系统搭建与验证方案，包括模拟或真实数据测试计划、预期性能指标（如监测精度、预警时效性）。</w:t>
            </w:r>
          </w:p>
          <w:p w14:paraId="29597979">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作品提交形式</w:t>
            </w:r>
          </w:p>
          <w:p w14:paraId="6895E4BB">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主文档：完整的系统设计方案报告（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格式，字数不限，建议</w:t>
            </w:r>
            <w:r>
              <w:rPr>
                <w:rFonts w:ascii="仿宋_GB2312" w:hAnsi="仿宋_GB2312" w:eastAsia="仿宋_GB2312" w:cs="仿宋_GB2312"/>
                <w:bCs/>
                <w:color w:val="000000"/>
                <w:spacing w:val="6"/>
                <w:szCs w:val="28"/>
              </w:rPr>
              <w:t>50-100</w:t>
            </w:r>
            <w:r>
              <w:rPr>
                <w:rFonts w:hint="eastAsia" w:ascii="仿宋_GB2312" w:hAnsi="仿宋_GB2312" w:eastAsia="仿宋_GB2312" w:cs="仿宋_GB2312"/>
                <w:bCs/>
                <w:color w:val="000000"/>
                <w:spacing w:val="6"/>
                <w:szCs w:val="28"/>
              </w:rPr>
              <w:t>页，图文并茂）。</w:t>
            </w:r>
          </w:p>
          <w:p w14:paraId="5974C89A">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辅助材料：</w:t>
            </w:r>
          </w:p>
          <w:p w14:paraId="7040A0A5">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系统架构及关键流程的高清示意图、原理图。</w:t>
            </w:r>
          </w:p>
          <w:p w14:paraId="7A5FDEF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核心算法</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模型的伪代码或简要代码示例（可选，可附</w:t>
            </w:r>
            <w:r>
              <w:rPr>
                <w:rFonts w:ascii="仿宋_GB2312" w:hAnsi="仿宋_GB2312" w:eastAsia="仿宋_GB2312" w:cs="仿宋_GB2312"/>
                <w:bCs/>
                <w:color w:val="000000"/>
                <w:spacing w:val="6"/>
                <w:szCs w:val="28"/>
              </w:rPr>
              <w:t>GitHub</w:t>
            </w:r>
            <w:r>
              <w:rPr>
                <w:rFonts w:hint="eastAsia" w:ascii="仿宋_GB2312" w:hAnsi="仿宋_GB2312" w:eastAsia="仿宋_GB2312" w:cs="仿宋_GB2312"/>
                <w:bCs/>
                <w:color w:val="000000"/>
                <w:spacing w:val="6"/>
                <w:szCs w:val="28"/>
              </w:rPr>
              <w:t>链接）。</w:t>
            </w:r>
          </w:p>
          <w:p w14:paraId="4AF886E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演示视频（可选但鼓励）：时长不超过</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分钟，展示方案核心思想、原型系统</w:t>
            </w:r>
            <w:r>
              <w:rPr>
                <w:rFonts w:ascii="仿宋_GB2312" w:hAnsi="仿宋_GB2312" w:eastAsia="仿宋_GB2312" w:cs="仿宋_GB2312"/>
                <w:bCs/>
                <w:color w:val="000000"/>
                <w:spacing w:val="6"/>
                <w:szCs w:val="28"/>
              </w:rPr>
              <w:t>UI/UX</w:t>
            </w:r>
            <w:r>
              <w:rPr>
                <w:rFonts w:hint="eastAsia" w:ascii="仿宋_GB2312" w:hAnsi="仿宋_GB2312" w:eastAsia="仿宋_GB2312" w:cs="仿宋_GB2312"/>
                <w:bCs/>
                <w:color w:val="000000"/>
                <w:spacing w:val="6"/>
                <w:szCs w:val="28"/>
              </w:rPr>
              <w:t>模拟或算法模拟演示。</w:t>
            </w:r>
          </w:p>
          <w:p w14:paraId="3B5C7DE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提交方式：通过大赛指定平台上传电子版文件。</w:t>
            </w:r>
          </w:p>
          <w:p w14:paraId="6655BD0F">
            <w:pPr>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时间要求</w:t>
            </w:r>
          </w:p>
          <w:p w14:paraId="0242DB9E">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作品提交截止日期以组委会通知为准。</w:t>
            </w:r>
          </w:p>
          <w:p w14:paraId="713E070C">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逾期提交的作品将不予受理。</w:t>
            </w:r>
          </w:p>
        </w:tc>
      </w:tr>
      <w:tr w14:paraId="2B8A01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E84F8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336277ED">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tbl>
            <w:tblPr>
              <w:tblStyle w:val="11"/>
              <w:tblW w:w="5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Pr>
            <w:tblGrid>
              <w:gridCol w:w="1353"/>
              <w:gridCol w:w="1052"/>
              <w:gridCol w:w="3402"/>
            </w:tblGrid>
            <w:tr w14:paraId="5FA7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Header/>
                <w:jc w:val="center"/>
              </w:trPr>
              <w:tc>
                <w:tcPr>
                  <w:tcW w:w="1353" w:type="dxa"/>
                  <w:shd w:val="clear" w:color="auto" w:fill="FFFFFF"/>
                  <w:tcMar>
                    <w:top w:w="150" w:type="dxa"/>
                    <w:left w:w="0" w:type="dxa"/>
                    <w:bottom w:w="150" w:type="dxa"/>
                    <w:right w:w="240" w:type="dxa"/>
                  </w:tcMar>
                  <w:vAlign w:val="center"/>
                </w:tcPr>
                <w:p w14:paraId="1398F429">
                  <w:pPr>
                    <w:widowControl w:val="0"/>
                    <w:spacing w:after="160" w:line="278" w:lineRule="auto"/>
                    <w:rPr>
                      <w:rFonts w:ascii="仿宋" w:hAnsi="仿宋" w:eastAsia="仿宋"/>
                      <w:lang w:val="en-US"/>
                    </w:rPr>
                  </w:pPr>
                  <w:r>
                    <w:rPr>
                      <w:rFonts w:ascii="仿宋" w:hAnsi="仿宋" w:eastAsia="仿宋"/>
                      <w:b/>
                      <w:bCs/>
                      <w:lang w:val="en-US"/>
                    </w:rPr>
                    <w:t>评审维度</w:t>
                  </w:r>
                </w:p>
              </w:tc>
              <w:tc>
                <w:tcPr>
                  <w:tcW w:w="1052" w:type="dxa"/>
                  <w:shd w:val="clear" w:color="auto" w:fill="FFFFFF"/>
                  <w:tcMar>
                    <w:top w:w="150" w:type="dxa"/>
                    <w:left w:w="240" w:type="dxa"/>
                    <w:bottom w:w="150" w:type="dxa"/>
                    <w:right w:w="240" w:type="dxa"/>
                  </w:tcMar>
                  <w:vAlign w:val="center"/>
                </w:tcPr>
                <w:p w14:paraId="6DDB75C6">
                  <w:pPr>
                    <w:widowControl w:val="0"/>
                    <w:spacing w:after="160" w:line="278" w:lineRule="auto"/>
                    <w:rPr>
                      <w:rFonts w:ascii="仿宋" w:hAnsi="仿宋" w:eastAsia="仿宋"/>
                      <w:lang w:val="en-US"/>
                    </w:rPr>
                  </w:pPr>
                  <w:r>
                    <w:rPr>
                      <w:rFonts w:ascii="仿宋" w:hAnsi="仿宋" w:eastAsia="仿宋"/>
                      <w:b/>
                      <w:bCs/>
                      <w:lang w:val="en-US"/>
                    </w:rPr>
                    <w:t>权重</w:t>
                  </w:r>
                </w:p>
              </w:tc>
              <w:tc>
                <w:tcPr>
                  <w:tcW w:w="3402" w:type="dxa"/>
                  <w:shd w:val="clear" w:color="auto" w:fill="FFFFFF"/>
                  <w:tcMar>
                    <w:top w:w="150" w:type="dxa"/>
                    <w:left w:w="240" w:type="dxa"/>
                    <w:bottom w:w="150" w:type="dxa"/>
                    <w:right w:w="240" w:type="dxa"/>
                  </w:tcMar>
                  <w:vAlign w:val="center"/>
                </w:tcPr>
                <w:p w14:paraId="17422591">
                  <w:pPr>
                    <w:widowControl w:val="0"/>
                    <w:spacing w:after="160" w:line="278" w:lineRule="auto"/>
                    <w:rPr>
                      <w:rFonts w:ascii="仿宋" w:hAnsi="仿宋" w:eastAsia="仿宋"/>
                      <w:lang w:val="en-US"/>
                    </w:rPr>
                  </w:pPr>
                  <w:r>
                    <w:rPr>
                      <w:rFonts w:ascii="仿宋" w:hAnsi="仿宋" w:eastAsia="仿宋"/>
                      <w:b/>
                      <w:bCs/>
                      <w:lang w:val="en-US"/>
                    </w:rPr>
                    <w:t>具体评价要点</w:t>
                  </w:r>
                </w:p>
              </w:tc>
            </w:tr>
            <w:tr w14:paraId="4AC9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8B80F5A">
                  <w:pPr>
                    <w:widowControl w:val="0"/>
                    <w:spacing w:after="160" w:line="278" w:lineRule="auto"/>
                    <w:rPr>
                      <w:rFonts w:ascii="仿宋" w:hAnsi="仿宋" w:eastAsia="仿宋"/>
                      <w:lang w:val="en-US"/>
                    </w:rPr>
                  </w:pPr>
                  <w:r>
                    <w:rPr>
                      <w:rFonts w:ascii="仿宋" w:hAnsi="仿宋" w:eastAsia="仿宋"/>
                      <w:b/>
                      <w:bCs/>
                      <w:lang w:val="en-US"/>
                    </w:rPr>
                    <w:t>创新性与先进性</w:t>
                  </w:r>
                </w:p>
              </w:tc>
              <w:tc>
                <w:tcPr>
                  <w:tcW w:w="1052" w:type="dxa"/>
                  <w:shd w:val="clear" w:color="auto" w:fill="FFFFFF"/>
                  <w:tcMar>
                    <w:top w:w="150" w:type="dxa"/>
                    <w:left w:w="240" w:type="dxa"/>
                    <w:bottom w:w="150" w:type="dxa"/>
                    <w:right w:w="240" w:type="dxa"/>
                  </w:tcMar>
                  <w:vAlign w:val="center"/>
                </w:tcPr>
                <w:p w14:paraId="5831DC91">
                  <w:pPr>
                    <w:widowControl w:val="0"/>
                    <w:spacing w:after="160" w:line="278" w:lineRule="auto"/>
                    <w:rPr>
                      <w:rFonts w:ascii="仿宋" w:hAnsi="仿宋" w:eastAsia="仿宋"/>
                      <w:lang w:val="en-US"/>
                    </w:rPr>
                  </w:pPr>
                  <w:r>
                    <w:rPr>
                      <w:rFonts w:ascii="仿宋" w:hAnsi="仿宋" w:eastAsia="仿宋"/>
                      <w:lang w:val="en-US"/>
                    </w:rPr>
                    <w:t>25%</w:t>
                  </w:r>
                </w:p>
              </w:tc>
              <w:tc>
                <w:tcPr>
                  <w:tcW w:w="3402" w:type="dxa"/>
                  <w:shd w:val="clear" w:color="auto" w:fill="FFFFFF"/>
                  <w:tcMar>
                    <w:top w:w="150" w:type="dxa"/>
                    <w:left w:w="240" w:type="dxa"/>
                    <w:bottom w:w="150" w:type="dxa"/>
                    <w:right w:w="0" w:type="dxa"/>
                  </w:tcMar>
                  <w:vAlign w:val="center"/>
                </w:tcPr>
                <w:p w14:paraId="0BE77D99">
                  <w:pPr>
                    <w:widowControl w:val="0"/>
                    <w:spacing w:after="160" w:line="278" w:lineRule="auto"/>
                    <w:rPr>
                      <w:rFonts w:ascii="仿宋" w:hAnsi="仿宋" w:eastAsia="仿宋"/>
                      <w:lang w:val="en-US"/>
                    </w:rPr>
                  </w:pPr>
                  <w:r>
                    <w:rPr>
                      <w:rFonts w:ascii="仿宋" w:hAnsi="仿宋" w:eastAsia="仿宋"/>
                      <w:lang w:val="en-US"/>
                    </w:rPr>
                    <w:t>设计理念、技术路线的创新程度；是否采用前沿技术解决行业痛点；方案的技术领先性。</w:t>
                  </w:r>
                </w:p>
              </w:tc>
            </w:tr>
            <w:tr w14:paraId="3B32A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23BC6C7">
                  <w:pPr>
                    <w:widowControl w:val="0"/>
                    <w:spacing w:after="160" w:line="278" w:lineRule="auto"/>
                    <w:rPr>
                      <w:rFonts w:ascii="仿宋" w:hAnsi="仿宋" w:eastAsia="仿宋"/>
                      <w:lang w:val="en-US"/>
                    </w:rPr>
                  </w:pPr>
                  <w:r>
                    <w:rPr>
                      <w:rFonts w:ascii="仿宋" w:hAnsi="仿宋" w:eastAsia="仿宋"/>
                      <w:b/>
                      <w:bCs/>
                      <w:lang w:val="en-US"/>
                    </w:rPr>
                    <w:t>系统性与完整性</w:t>
                  </w:r>
                </w:p>
              </w:tc>
              <w:tc>
                <w:tcPr>
                  <w:tcW w:w="1052" w:type="dxa"/>
                  <w:shd w:val="clear" w:color="auto" w:fill="FFFFFF"/>
                  <w:tcMar>
                    <w:top w:w="150" w:type="dxa"/>
                    <w:left w:w="240" w:type="dxa"/>
                    <w:bottom w:w="150" w:type="dxa"/>
                    <w:right w:w="240" w:type="dxa"/>
                  </w:tcMar>
                  <w:vAlign w:val="center"/>
                </w:tcPr>
                <w:p w14:paraId="0A45A646">
                  <w:pPr>
                    <w:widowControl w:val="0"/>
                    <w:spacing w:after="160" w:line="278" w:lineRule="auto"/>
                    <w:rPr>
                      <w:rFonts w:ascii="仿宋" w:hAnsi="仿宋" w:eastAsia="仿宋"/>
                      <w:lang w:val="en-US"/>
                    </w:rPr>
                  </w:pPr>
                  <w:r>
                    <w:rPr>
                      <w:rFonts w:ascii="仿宋" w:hAnsi="仿宋" w:eastAsia="仿宋"/>
                      <w:lang w:val="en-US"/>
                    </w:rPr>
                    <w:t>25%</w:t>
                  </w:r>
                </w:p>
              </w:tc>
              <w:tc>
                <w:tcPr>
                  <w:tcW w:w="3402" w:type="dxa"/>
                  <w:shd w:val="clear" w:color="auto" w:fill="FFFFFF"/>
                  <w:tcMar>
                    <w:top w:w="150" w:type="dxa"/>
                    <w:left w:w="240" w:type="dxa"/>
                    <w:bottom w:w="150" w:type="dxa"/>
                    <w:right w:w="0" w:type="dxa"/>
                  </w:tcMar>
                  <w:vAlign w:val="center"/>
                </w:tcPr>
                <w:p w14:paraId="2D088713">
                  <w:pPr>
                    <w:widowControl w:val="0"/>
                    <w:spacing w:after="160" w:line="278" w:lineRule="auto"/>
                    <w:rPr>
                      <w:rFonts w:ascii="仿宋" w:hAnsi="仿宋" w:eastAsia="仿宋"/>
                      <w:lang w:val="en-US"/>
                    </w:rPr>
                  </w:pPr>
                  <w:r>
                    <w:rPr>
                      <w:rFonts w:ascii="仿宋" w:hAnsi="仿宋" w:eastAsia="仿宋"/>
                      <w:lang w:val="en-US"/>
                    </w:rPr>
                    <w:t>总体架构是否清晰、合理、层次分明；多尺度、多源数据融合方案是否系统、可行；方案是否覆盖从数据采集到应用服务的完整链条。</w:t>
                  </w:r>
                </w:p>
              </w:tc>
            </w:tr>
            <w:tr w14:paraId="48A6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22448F1D">
                  <w:pPr>
                    <w:widowControl w:val="0"/>
                    <w:spacing w:after="160" w:line="278" w:lineRule="auto"/>
                    <w:rPr>
                      <w:rFonts w:ascii="仿宋" w:hAnsi="仿宋" w:eastAsia="仿宋"/>
                      <w:lang w:val="en-US"/>
                    </w:rPr>
                  </w:pPr>
                  <w:r>
                    <w:rPr>
                      <w:rFonts w:ascii="仿宋" w:hAnsi="仿宋" w:eastAsia="仿宋"/>
                      <w:b/>
                      <w:bCs/>
                      <w:lang w:val="en-US"/>
                    </w:rPr>
                    <w:t>技术可行性与成熟度</w:t>
                  </w:r>
                </w:p>
              </w:tc>
              <w:tc>
                <w:tcPr>
                  <w:tcW w:w="1052" w:type="dxa"/>
                  <w:shd w:val="clear" w:color="auto" w:fill="FFFFFF"/>
                  <w:tcMar>
                    <w:top w:w="150" w:type="dxa"/>
                    <w:left w:w="240" w:type="dxa"/>
                    <w:bottom w:w="150" w:type="dxa"/>
                    <w:right w:w="240" w:type="dxa"/>
                  </w:tcMar>
                  <w:vAlign w:val="center"/>
                </w:tcPr>
                <w:p w14:paraId="3B331C3C">
                  <w:pPr>
                    <w:widowControl w:val="0"/>
                    <w:spacing w:after="160" w:line="278" w:lineRule="auto"/>
                    <w:rPr>
                      <w:rFonts w:ascii="仿宋" w:hAnsi="仿宋" w:eastAsia="仿宋"/>
                      <w:lang w:val="en-US"/>
                    </w:rPr>
                  </w:pPr>
                  <w:r>
                    <w:rPr>
                      <w:rFonts w:ascii="仿宋" w:hAnsi="仿宋" w:eastAsia="仿宋"/>
                      <w:lang w:val="en-US"/>
                    </w:rPr>
                    <w:t>20%</w:t>
                  </w:r>
                </w:p>
              </w:tc>
              <w:tc>
                <w:tcPr>
                  <w:tcW w:w="3402" w:type="dxa"/>
                  <w:shd w:val="clear" w:color="auto" w:fill="FFFFFF"/>
                  <w:tcMar>
                    <w:top w:w="150" w:type="dxa"/>
                    <w:left w:w="240" w:type="dxa"/>
                    <w:bottom w:w="150" w:type="dxa"/>
                    <w:right w:w="0" w:type="dxa"/>
                  </w:tcMar>
                  <w:vAlign w:val="center"/>
                </w:tcPr>
                <w:p w14:paraId="32CEF553">
                  <w:pPr>
                    <w:widowControl w:val="0"/>
                    <w:spacing w:after="160" w:line="278" w:lineRule="auto"/>
                    <w:rPr>
                      <w:rFonts w:ascii="仿宋" w:hAnsi="仿宋" w:eastAsia="仿宋"/>
                      <w:lang w:val="en-US"/>
                    </w:rPr>
                  </w:pPr>
                  <w:r>
                    <w:rPr>
                      <w:rFonts w:ascii="仿宋" w:hAnsi="仿宋" w:eastAsia="仿宋"/>
                      <w:lang w:val="en-US"/>
                    </w:rPr>
                    <w:t>所选技术、设备、平台的合理性与可实现性；核心算法/模型设计的科学性与有效性；原型验证方案的可行性。</w:t>
                  </w:r>
                </w:p>
              </w:tc>
            </w:tr>
            <w:tr w14:paraId="452C1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2F21BDBD">
                  <w:pPr>
                    <w:widowControl w:val="0"/>
                    <w:spacing w:after="160" w:line="278" w:lineRule="auto"/>
                    <w:rPr>
                      <w:rFonts w:ascii="仿宋" w:hAnsi="仿宋" w:eastAsia="仿宋"/>
                      <w:lang w:val="en-US"/>
                    </w:rPr>
                  </w:pPr>
                  <w:r>
                    <w:rPr>
                      <w:rFonts w:ascii="仿宋" w:hAnsi="仿宋" w:eastAsia="仿宋"/>
                      <w:b/>
                      <w:bCs/>
                      <w:lang w:val="en-US"/>
                    </w:rPr>
                    <w:t>应用价值与推广潜力</w:t>
                  </w:r>
                </w:p>
              </w:tc>
              <w:tc>
                <w:tcPr>
                  <w:tcW w:w="1052" w:type="dxa"/>
                  <w:shd w:val="clear" w:color="auto" w:fill="FFFFFF"/>
                  <w:tcMar>
                    <w:top w:w="150" w:type="dxa"/>
                    <w:left w:w="240" w:type="dxa"/>
                    <w:bottom w:w="150" w:type="dxa"/>
                    <w:right w:w="240" w:type="dxa"/>
                  </w:tcMar>
                  <w:vAlign w:val="center"/>
                </w:tcPr>
                <w:p w14:paraId="3C78CF0E">
                  <w:pPr>
                    <w:widowControl w:val="0"/>
                    <w:spacing w:after="160" w:line="278" w:lineRule="auto"/>
                    <w:rPr>
                      <w:rFonts w:ascii="仿宋" w:hAnsi="仿宋" w:eastAsia="仿宋"/>
                      <w:lang w:val="en-US"/>
                    </w:rPr>
                  </w:pPr>
                  <w:r>
                    <w:rPr>
                      <w:rFonts w:ascii="仿宋" w:hAnsi="仿宋" w:eastAsia="仿宋"/>
                      <w:lang w:val="en-US"/>
                    </w:rPr>
                    <w:t>20%</w:t>
                  </w:r>
                </w:p>
              </w:tc>
              <w:tc>
                <w:tcPr>
                  <w:tcW w:w="3402" w:type="dxa"/>
                  <w:shd w:val="clear" w:color="auto" w:fill="FFFFFF"/>
                  <w:tcMar>
                    <w:top w:w="150" w:type="dxa"/>
                    <w:left w:w="240" w:type="dxa"/>
                    <w:bottom w:w="150" w:type="dxa"/>
                    <w:right w:w="0" w:type="dxa"/>
                  </w:tcMar>
                  <w:vAlign w:val="center"/>
                </w:tcPr>
                <w:p w14:paraId="01AC2C4C">
                  <w:pPr>
                    <w:widowControl w:val="0"/>
                    <w:spacing w:after="160" w:line="278" w:lineRule="auto"/>
                    <w:rPr>
                      <w:rFonts w:ascii="仿宋" w:hAnsi="仿宋" w:eastAsia="仿宋"/>
                      <w:lang w:val="en-US"/>
                    </w:rPr>
                  </w:pPr>
                  <w:r>
                    <w:rPr>
                      <w:rFonts w:ascii="仿宋" w:hAnsi="仿宋" w:eastAsia="仿宋"/>
                      <w:lang w:val="en-US"/>
                    </w:rPr>
                    <w:t>是否精准匹配实际业务需求；应用场景的覆盖广度与深度；方案的可复制性、可扩展性及产业化前景。</w:t>
                  </w:r>
                </w:p>
              </w:tc>
            </w:tr>
            <w:tr w14:paraId="1210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353" w:type="dxa"/>
                  <w:shd w:val="clear" w:color="auto" w:fill="FFFFFF"/>
                  <w:tcMar>
                    <w:top w:w="150" w:type="dxa"/>
                    <w:left w:w="0" w:type="dxa"/>
                    <w:bottom w:w="150" w:type="dxa"/>
                    <w:right w:w="240" w:type="dxa"/>
                  </w:tcMar>
                  <w:vAlign w:val="center"/>
                </w:tcPr>
                <w:p w14:paraId="483275AA">
                  <w:pPr>
                    <w:widowControl w:val="0"/>
                    <w:spacing w:after="160" w:line="278" w:lineRule="auto"/>
                    <w:rPr>
                      <w:rFonts w:ascii="仿宋" w:hAnsi="仿宋" w:eastAsia="仿宋"/>
                      <w:lang w:val="en-US"/>
                    </w:rPr>
                  </w:pPr>
                  <w:r>
                    <w:rPr>
                      <w:rFonts w:ascii="仿宋" w:hAnsi="仿宋" w:eastAsia="仿宋"/>
                      <w:b/>
                      <w:bCs/>
                      <w:lang w:val="en-US"/>
                    </w:rPr>
                    <w:t>文档与表达质量</w:t>
                  </w:r>
                </w:p>
              </w:tc>
              <w:tc>
                <w:tcPr>
                  <w:tcW w:w="1052" w:type="dxa"/>
                  <w:shd w:val="clear" w:color="auto" w:fill="FFFFFF"/>
                  <w:tcMar>
                    <w:top w:w="150" w:type="dxa"/>
                    <w:left w:w="240" w:type="dxa"/>
                    <w:bottom w:w="150" w:type="dxa"/>
                    <w:right w:w="240" w:type="dxa"/>
                  </w:tcMar>
                  <w:vAlign w:val="center"/>
                </w:tcPr>
                <w:p w14:paraId="52D8D977">
                  <w:pPr>
                    <w:widowControl w:val="0"/>
                    <w:spacing w:after="160" w:line="278" w:lineRule="auto"/>
                    <w:rPr>
                      <w:rFonts w:ascii="仿宋" w:hAnsi="仿宋" w:eastAsia="仿宋"/>
                      <w:lang w:val="en-US"/>
                    </w:rPr>
                  </w:pPr>
                  <w:r>
                    <w:rPr>
                      <w:rFonts w:ascii="仿宋" w:hAnsi="仿宋" w:eastAsia="仿宋"/>
                      <w:lang w:val="en-US"/>
                    </w:rPr>
                    <w:t>10%</w:t>
                  </w:r>
                </w:p>
              </w:tc>
              <w:tc>
                <w:tcPr>
                  <w:tcW w:w="3402" w:type="dxa"/>
                  <w:shd w:val="clear" w:color="auto" w:fill="FFFFFF"/>
                  <w:tcMar>
                    <w:top w:w="150" w:type="dxa"/>
                    <w:left w:w="240" w:type="dxa"/>
                    <w:bottom w:w="150" w:type="dxa"/>
                    <w:right w:w="0" w:type="dxa"/>
                  </w:tcMar>
                  <w:vAlign w:val="center"/>
                </w:tcPr>
                <w:p w14:paraId="641B9AD9">
                  <w:pPr>
                    <w:widowControl w:val="0"/>
                    <w:spacing w:after="160" w:line="278" w:lineRule="auto"/>
                    <w:rPr>
                      <w:rFonts w:ascii="仿宋" w:hAnsi="仿宋" w:eastAsia="仿宋"/>
                      <w:lang w:val="en-US"/>
                    </w:rPr>
                  </w:pPr>
                  <w:r>
                    <w:rPr>
                      <w:rFonts w:ascii="仿宋" w:hAnsi="仿宋" w:eastAsia="仿宋"/>
                      <w:lang w:val="en-US"/>
                    </w:rPr>
                    <w:t>方案文档结构清晰、逻辑严谨、论述充分；图文表达准确、专业；演示材料（如有）生动、直观。</w:t>
                  </w:r>
                </w:p>
              </w:tc>
            </w:tr>
          </w:tbl>
          <w:p w14:paraId="38C7638B">
            <w:pPr>
              <w:overflowPunct w:val="0"/>
              <w:adjustRightInd w:val="0"/>
              <w:snapToGrid w:val="0"/>
              <w:rPr>
                <w:rFonts w:hint="eastAsia" w:ascii="仿宋_GB2312" w:hAnsi="仿宋_GB2312" w:eastAsia="仿宋_GB2312" w:cs="仿宋_GB2312"/>
                <w:bCs/>
                <w:color w:val="000000"/>
                <w:spacing w:val="6"/>
                <w:szCs w:val="28"/>
                <w:lang w:val="en-US"/>
              </w:rPr>
            </w:pPr>
          </w:p>
        </w:tc>
      </w:tr>
      <w:tr w14:paraId="2E89A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1D6725">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60A070B">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44A369DC">
      <w:pPr>
        <w:rPr>
          <w:rFonts w:ascii="方正黑体简体" w:eastAsia="方正黑体简体"/>
          <w:bCs/>
          <w:spacing w:val="6"/>
          <w:sz w:val="32"/>
          <w:szCs w:val="32"/>
        </w:rPr>
      </w:pPr>
      <w:r>
        <w:rPr>
          <w:rFonts w:hint="eastAsia" w:ascii="方正黑体简体" w:eastAsia="方正黑体简体"/>
          <w:bCs/>
          <w:spacing w:val="6"/>
          <w:sz w:val="32"/>
          <w:szCs w:val="32"/>
        </w:rPr>
        <w:br w:type="page"/>
      </w:r>
    </w:p>
    <w:p w14:paraId="7DCBB104">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2512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7805C8">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35007A5">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为确保大赛公平、顺利举行，并激励优秀团队脱颖而出，主办方承诺提供以下保障：</w:t>
            </w:r>
          </w:p>
          <w:p w14:paraId="00420D2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技术指导与咨询：组建由行业专家、高校教授、企业工程师构成的专家顾问团，通过线上讲座、答疑等方式，为参赛团队提供技术方向指导和咨询。</w:t>
            </w:r>
          </w:p>
          <w:p w14:paraId="01002EB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成果转化服务：对于优胜团队，特别是具有重大创新和实用价值的方案：</w:t>
            </w:r>
          </w:p>
          <w:p w14:paraId="7F0D2B99">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协助对接产业园区、创投基金、相关龙头企业，推动方案孵化和成果转化。</w:t>
            </w:r>
          </w:p>
          <w:p w14:paraId="374E843B">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在符合政策条件下，优先推荐参与相关领域的国家或地方科技计划项目。</w:t>
            </w:r>
          </w:p>
          <w:p w14:paraId="5A339D07">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提供知识产权申请相关咨询与便利服务。</w:t>
            </w:r>
          </w:p>
          <w:p w14:paraId="4CB5A42E">
            <w:pPr>
              <w:adjustRightInd w:val="0"/>
              <w:snapToGrid w:val="0"/>
              <w:ind w:firstLine="504" w:firstLineChars="200"/>
              <w:jc w:val="both"/>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交流与宣传平台：组织决赛路演、成果展示会，邀请媒体进行报道，为优秀团队提供高水平的行业曝光和交流机会。</w:t>
            </w:r>
          </w:p>
        </w:tc>
      </w:tr>
      <w:tr w14:paraId="651FE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D5EEA9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CCF56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5E994D9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F7F3DF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0D6B198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针对“擂主”团队，将开展后期项目落地及创业实践。</w:t>
            </w:r>
          </w:p>
          <w:p w14:paraId="2B69424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1E59560E">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8FE4D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E0D5FA8">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EB69A44">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推动多源对地观测技术融合创新：本选题将促进卫星遥感、无人机遥感和物联网传感技术的深度交叉与协同应用，推动形成新一代“空天地一体化”智能感知技术体系。</w:t>
            </w:r>
          </w:p>
          <w:p w14:paraId="1E490EF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攻克智能化解译与预警核心技术：针对海量、异构、多尺度的地貌监测数据，研究高效的数据融合、特征提取与智能分析算法，有助于突破当前地理信息处理自动化、智能化的瓶颈。</w:t>
            </w:r>
          </w:p>
          <w:p w14:paraId="73D0525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引领行业技术标准与发展方向：成功的设计方案有望为相关行业（自然资源、应急管理、交通水利）构建现代化监测体系提供技术范式和标准参考，引领行业技术升级。</w:t>
            </w:r>
          </w:p>
          <w:p w14:paraId="6EA8AD23">
            <w:pPr>
              <w:overflowPunct w:val="0"/>
              <w:adjustRightInd w:val="0"/>
              <w:snapToGrid w:val="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促进国产化软硬件生态发展：鼓励方案中优先考虑或兼容国产卫星数据、传感器、</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框架与</w:t>
            </w:r>
            <w:r>
              <w:rPr>
                <w:rFonts w:ascii="仿宋_GB2312" w:hAnsi="仿宋_GB2312" w:eastAsia="仿宋_GB2312" w:cs="仿宋_GB2312"/>
                <w:bCs/>
                <w:color w:val="000000"/>
                <w:spacing w:val="6"/>
                <w:szCs w:val="28"/>
              </w:rPr>
              <w:t>GIS</w:t>
            </w:r>
            <w:r>
              <w:rPr>
                <w:rFonts w:hint="eastAsia" w:ascii="仿宋_GB2312" w:hAnsi="仿宋_GB2312" w:eastAsia="仿宋_GB2312" w:cs="仿宋_GB2312"/>
                <w:bCs/>
                <w:color w:val="000000"/>
                <w:spacing w:val="6"/>
                <w:szCs w:val="28"/>
              </w:rPr>
              <w:t>平台，对提升我国在该领域的技术自主可控能力具有积极意义。</w:t>
            </w:r>
          </w:p>
        </w:tc>
      </w:tr>
      <w:tr w14:paraId="1BA64E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8825A6">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08222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经济效益：</w:t>
            </w:r>
          </w:p>
          <w:p w14:paraId="0A12314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降低灾害损失：通过精准预警，可极大减少因地质灾害造成的人员伤亡和财产损失（如道路中断、房屋损毁、工程损毁）。</w:t>
            </w:r>
          </w:p>
          <w:p w14:paraId="76F9D3E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节约监测成本：智能化、自动化的系统可大幅减少长期人工巡查、监测的人力物力投入，实现降本增效。</w:t>
            </w:r>
          </w:p>
          <w:p w14:paraId="69430D99">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创造新兴产业：带动高端传感器制造、无人机服务、遥感数据处理、地理信息软件开发等相关产业发展，创造新的经济增长点。</w:t>
            </w:r>
          </w:p>
          <w:p w14:paraId="4C6D87E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社会效益：</w:t>
            </w:r>
          </w:p>
          <w:p w14:paraId="2103F3FA">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保障公共安全：提升对重大自然灾害和工程风险的预警能力，是“平安中国”建设的重要技术支撑。</w:t>
            </w:r>
          </w:p>
          <w:p w14:paraId="2FB37AB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支撑科学决策：为国土空间规划、重大工程项目选址、生态环境保护提供精准、动态的数据基础，促进可持续发展。</w:t>
            </w:r>
          </w:p>
          <w:p w14:paraId="5033314A">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提升治理能力：赋能自然资源、应急管理等部门的现代化治理能力，实现从被动应对到主动防控的转变。</w:t>
            </w:r>
          </w:p>
        </w:tc>
      </w:tr>
    </w:tbl>
    <w:p w14:paraId="3B6A89F4">
      <w:pPr>
        <w:rPr>
          <w:rFonts w:hint="eastAsia" w:ascii="楷体_GB2312" w:hAnsi="楷体_GB2312" w:eastAsia="楷体_GB2312" w:cs="楷体_GB2312"/>
        </w:rPr>
      </w:pPr>
      <w:r>
        <w:rPr>
          <w:rFonts w:hint="eastAsia" w:ascii="楷体_GB2312" w:hAnsi="楷体_GB2312" w:eastAsia="楷体_GB2312" w:cs="楷体_GB2312"/>
        </w:rPr>
        <w:br w:type="page"/>
      </w:r>
    </w:p>
    <w:p w14:paraId="36059987">
      <w:pPr>
        <w:spacing w:line="121" w:lineRule="exact"/>
        <w:ind w:firstLine="1685"/>
      </w:pPr>
      <w:r>
        <w:rPr>
          <w:position w:val="-2"/>
        </w:rPr>
        <w:drawing>
          <wp:inline distT="0" distB="0" distL="0" distR="0">
            <wp:extent cx="95250" cy="762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95271" cy="76293"/>
                    </a:xfrm>
                    <a:prstGeom prst="rect">
                      <a:avLst/>
                    </a:prstGeom>
                  </pic:spPr>
                </pic:pic>
              </a:graphicData>
            </a:graphic>
          </wp:inline>
        </w:drawing>
      </w:r>
    </w:p>
    <w:p w14:paraId="2450324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6F7696F4">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5</w:t>
      </w:r>
    </w:p>
    <w:p w14:paraId="036F612D">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36E1492C">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一、单位信息</w:t>
      </w:r>
    </w:p>
    <w:tbl>
      <w:tblPr>
        <w:tblStyle w:val="27"/>
        <w:tblW w:w="8613"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3"/>
        <w:gridCol w:w="3119"/>
        <w:gridCol w:w="1069"/>
        <w:gridCol w:w="2719"/>
        <w:gridCol w:w="53"/>
      </w:tblGrid>
      <w:tr w14:paraId="49853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447" w:hRule="atLeast"/>
        </w:trPr>
        <w:tc>
          <w:tcPr>
            <w:tcW w:w="1653" w:type="dxa"/>
            <w:vAlign w:val="center"/>
          </w:tcPr>
          <w:p w14:paraId="4252FF5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w:t>
            </w:r>
            <w:r>
              <w:rPr>
                <w:rFonts w:hint="eastAsia" w:ascii="楷体_GB2312" w:hAnsi="楷体_GB2312" w:eastAsia="楷体_GB2312" w:cs="楷体_GB2312"/>
                <w:color w:val="000000"/>
                <w:sz w:val="28"/>
                <w:szCs w:val="28"/>
                <w:lang w:val="en-US" w:eastAsia="zh-CN"/>
              </w:rPr>
              <w:t>位</w:t>
            </w:r>
            <w:r>
              <w:rPr>
                <w:rFonts w:hint="eastAsia" w:ascii="楷体_GB2312" w:hAnsi="楷体_GB2312" w:eastAsia="楷体_GB2312" w:cs="楷体_GB2312"/>
                <w:color w:val="000000"/>
                <w:sz w:val="28"/>
                <w:szCs w:val="28"/>
              </w:rPr>
              <w:t>名称</w:t>
            </w:r>
          </w:p>
        </w:tc>
        <w:tc>
          <w:tcPr>
            <w:tcW w:w="6907" w:type="dxa"/>
            <w:gridSpan w:val="3"/>
            <w:vAlign w:val="center"/>
          </w:tcPr>
          <w:p w14:paraId="19301B2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中都数科供应链管理有限公司</w:t>
            </w:r>
          </w:p>
        </w:tc>
      </w:tr>
      <w:tr w14:paraId="199A7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579" w:hRule="atLeast"/>
        </w:trPr>
        <w:tc>
          <w:tcPr>
            <w:tcW w:w="1653" w:type="dxa"/>
            <w:vAlign w:val="center"/>
          </w:tcPr>
          <w:p w14:paraId="4770C91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单位类型</w:t>
            </w:r>
          </w:p>
        </w:tc>
        <w:tc>
          <w:tcPr>
            <w:tcW w:w="6907" w:type="dxa"/>
            <w:gridSpan w:val="3"/>
            <w:vAlign w:val="center"/>
          </w:tcPr>
          <w:p w14:paraId="4A19D4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国有企业</w:t>
            </w:r>
          </w:p>
        </w:tc>
      </w:tr>
      <w:tr w14:paraId="29472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569" w:hRule="atLeast"/>
        </w:trPr>
        <w:tc>
          <w:tcPr>
            <w:tcW w:w="1653" w:type="dxa"/>
            <w:vAlign w:val="center"/>
          </w:tcPr>
          <w:p w14:paraId="2CF4910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地址</w:t>
            </w:r>
          </w:p>
        </w:tc>
        <w:tc>
          <w:tcPr>
            <w:tcW w:w="6907" w:type="dxa"/>
            <w:gridSpan w:val="3"/>
            <w:vAlign w:val="center"/>
          </w:tcPr>
          <w:p w14:paraId="1F38495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北京市顺义区西盈路19号院</w:t>
            </w:r>
          </w:p>
        </w:tc>
      </w:tr>
      <w:tr w14:paraId="4F041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53" w:type="dxa"/>
          <w:trHeight w:val="7977" w:hRule="atLeast"/>
        </w:trPr>
        <w:tc>
          <w:tcPr>
            <w:tcW w:w="1653" w:type="dxa"/>
            <w:vAlign w:val="center"/>
          </w:tcPr>
          <w:p w14:paraId="135AD94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单位简介</w:t>
            </w:r>
          </w:p>
        </w:tc>
        <w:tc>
          <w:tcPr>
            <w:tcW w:w="6907" w:type="dxa"/>
            <w:gridSpan w:val="3"/>
            <w:vAlign w:val="center"/>
          </w:tcPr>
          <w:p w14:paraId="170F99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中都数科供应链管理有限公司</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原中都物流有限公司</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成立于2008年，是北汽集团旗下北汽鹏龙物流业务板块核心企业，5A级物流企业、国家高新技术企业、北京市专精特新中小企业、北京市企业技术中心、全国先进物流企业。</w:t>
            </w:r>
          </w:p>
          <w:p w14:paraId="11BCF26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公司立足汽车产业，面向乘用车、商用车、智能电动汽车、社会车辆等市场，形成整车及零部件仓储、运输两大核心基础业务。公司锚定智慧型供应链企业成长目标，构建业务数字化核心力，截至2025年底，累计获得专利46项，软著136项</w:t>
            </w:r>
          </w:p>
          <w:p w14:paraId="16B3807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推动智慧物流实验室、自动驾驶、人工智能、人形机器等技术在行业前沿应用研究。</w:t>
            </w:r>
          </w:p>
          <w:p w14:paraId="1E2857D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2025年公司正式更名为中都数科供应链管理有限公司</w:t>
            </w:r>
          </w:p>
          <w:p w14:paraId="0696EF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开启战略发展的全新升级。未来，中都数科将以数智科技为驱动，以汽车供应链全局视角，探索供应链服务数字化、智能化、绿色化发展，通过智能化作业、端到端流程变革，数据驱动运作模式化，提升作业效率、客户体验，降低运营成本，为汽车产业上下游客户提供有温度、高品质、可信赖的一站式全生命周期供应链服务。</w:t>
            </w:r>
          </w:p>
        </w:tc>
      </w:tr>
      <w:tr w14:paraId="03B53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1653" w:type="dxa"/>
            <w:vAlign w:val="top"/>
          </w:tcPr>
          <w:p w14:paraId="1AC7A03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联系人</w:t>
            </w:r>
          </w:p>
        </w:tc>
        <w:tc>
          <w:tcPr>
            <w:tcW w:w="3119" w:type="dxa"/>
            <w:vAlign w:val="top"/>
          </w:tcPr>
          <w:p w14:paraId="1209DBD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李微</w:t>
            </w:r>
          </w:p>
          <w:p w14:paraId="39332E9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刘占胜</w:t>
            </w:r>
          </w:p>
        </w:tc>
        <w:tc>
          <w:tcPr>
            <w:tcW w:w="1069" w:type="dxa"/>
            <w:vAlign w:val="top"/>
          </w:tcPr>
          <w:p w14:paraId="0092502D">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职务</w:t>
            </w:r>
          </w:p>
        </w:tc>
        <w:tc>
          <w:tcPr>
            <w:tcW w:w="2772" w:type="dxa"/>
            <w:gridSpan w:val="2"/>
            <w:vAlign w:val="top"/>
          </w:tcPr>
          <w:p w14:paraId="72F969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人力总监</w:t>
            </w:r>
          </w:p>
        </w:tc>
      </w:tr>
      <w:tr w14:paraId="4E9BD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9" w:hRule="atLeast"/>
        </w:trPr>
        <w:tc>
          <w:tcPr>
            <w:tcW w:w="1653" w:type="dxa"/>
            <w:vAlign w:val="top"/>
          </w:tcPr>
          <w:p w14:paraId="0A4C284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联系方式</w:t>
            </w:r>
          </w:p>
        </w:tc>
        <w:tc>
          <w:tcPr>
            <w:tcW w:w="3119" w:type="dxa"/>
            <w:vAlign w:val="top"/>
          </w:tcPr>
          <w:p w14:paraId="6D10A7D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18511189920</w:t>
            </w:r>
          </w:p>
          <w:p w14:paraId="2B38422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18513851313</w:t>
            </w:r>
          </w:p>
        </w:tc>
        <w:tc>
          <w:tcPr>
            <w:tcW w:w="1069" w:type="dxa"/>
            <w:vAlign w:val="top"/>
          </w:tcPr>
          <w:p w14:paraId="4660AF19">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微信</w:t>
            </w:r>
          </w:p>
        </w:tc>
        <w:tc>
          <w:tcPr>
            <w:tcW w:w="2772" w:type="dxa"/>
            <w:gridSpan w:val="2"/>
            <w:vAlign w:val="top"/>
          </w:tcPr>
          <w:p w14:paraId="1D905D6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同手机号</w:t>
            </w:r>
          </w:p>
        </w:tc>
      </w:tr>
    </w:tbl>
    <w:p w14:paraId="3F75EDA2">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p>
    <w:p w14:paraId="7C47455E">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p>
    <w:p w14:paraId="4759BACD">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二、选题说明</w:t>
      </w:r>
    </w:p>
    <w:tbl>
      <w:tblPr>
        <w:tblStyle w:val="27"/>
        <w:tblW w:w="8468" w:type="dxa"/>
        <w:tblInd w:w="1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
        <w:gridCol w:w="1813"/>
        <w:gridCol w:w="19"/>
        <w:gridCol w:w="6598"/>
        <w:gridCol w:w="29"/>
      </w:tblGrid>
      <w:tr w14:paraId="5CA66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1104" w:hRule="atLeast"/>
        </w:trPr>
        <w:tc>
          <w:tcPr>
            <w:tcW w:w="1822" w:type="dxa"/>
            <w:gridSpan w:val="2"/>
            <w:vAlign w:val="center"/>
          </w:tcPr>
          <w:p w14:paraId="09A454C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选题题目</w:t>
            </w:r>
          </w:p>
        </w:tc>
        <w:tc>
          <w:tcPr>
            <w:tcW w:w="6617" w:type="dxa"/>
            <w:gridSpan w:val="2"/>
            <w:vAlign w:val="center"/>
          </w:tcPr>
          <w:p w14:paraId="3E2B936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基于AI图像识别的整车物流装载合规性智能检测解决方案</w:t>
            </w:r>
          </w:p>
        </w:tc>
      </w:tr>
      <w:tr w14:paraId="23067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1978" w:hRule="atLeast"/>
        </w:trPr>
        <w:tc>
          <w:tcPr>
            <w:tcW w:w="1822" w:type="dxa"/>
            <w:gridSpan w:val="2"/>
            <w:vAlign w:val="center"/>
          </w:tcPr>
          <w:p w14:paraId="62E7FD2A">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17" w:type="dxa"/>
            <w:gridSpan w:val="2"/>
            <w:vAlign w:val="center"/>
          </w:tcPr>
          <w:p w14:paraId="4E0E798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汽车物流行业、人工智能技术应用</w:t>
            </w:r>
          </w:p>
        </w:tc>
      </w:tr>
      <w:tr w14:paraId="71AB2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9" w:type="dxa"/>
          <w:trHeight w:val="7617" w:hRule="atLeast"/>
        </w:trPr>
        <w:tc>
          <w:tcPr>
            <w:tcW w:w="1822" w:type="dxa"/>
            <w:gridSpan w:val="2"/>
            <w:vAlign w:val="center"/>
          </w:tcPr>
          <w:p w14:paraId="424D0A3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17" w:type="dxa"/>
            <w:gridSpan w:val="2"/>
            <w:vAlign w:val="center"/>
          </w:tcPr>
          <w:p w14:paraId="05EEDB8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选题背景：</w:t>
            </w:r>
          </w:p>
          <w:p w14:paraId="1F49695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在整车物流运输中，装载环节的合规性直接影响运输安全与质量。当前依赖人工拍照、事后人工审核的方式，存在识别标准不统一、漏判误判率高、问题反馈滞后等痛点，难以满足规模化运输的管控需求。</w:t>
            </w:r>
          </w:p>
          <w:p w14:paraId="75B00F0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选题需求：</w:t>
            </w:r>
          </w:p>
          <w:p w14:paraId="0E676BE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需构建开发一个AI智能检测智能体，可与整车物流业务系</w:t>
            </w:r>
          </w:p>
          <w:p w14:paraId="7CEFB9F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统集成，自动识别满载照片中商品车的间距不足、前后超框、车门未关等违规作业点，精准定位问题并生成记录，实时推送给现场管理人员处理，实现装载环节的智能、高效、标准化管控。</w:t>
            </w:r>
          </w:p>
          <w:p w14:paraId="1BF9877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应用目标：</w:t>
            </w:r>
          </w:p>
          <w:p w14:paraId="46AADA0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该智能体可直接部署于整车物流企业的装载作业场景，与业务系统集成，替代传统人工审核模式，降低人力成本，提升装载合规率与问题处理速度，也可推广至商品车仓储、转运等相关环节，具有较强的落地价值与行业通用性。</w:t>
            </w:r>
          </w:p>
        </w:tc>
      </w:tr>
      <w:tr w14:paraId="19CC3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 w:type="dxa"/>
          <w:trHeight w:val="7599" w:hRule="atLeast"/>
        </w:trPr>
        <w:tc>
          <w:tcPr>
            <w:tcW w:w="1832" w:type="dxa"/>
            <w:gridSpan w:val="2"/>
            <w:vAlign w:val="center"/>
          </w:tcPr>
          <w:p w14:paraId="774814E7">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27" w:type="dxa"/>
            <w:gridSpan w:val="2"/>
            <w:vAlign w:val="center"/>
          </w:tcPr>
          <w:p w14:paraId="3A3880D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提报形式：</w:t>
            </w:r>
          </w:p>
          <w:p w14:paraId="1C37A69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提交完整的技术方案报告，包含算法设计、模型架构、测试验证等核心内容。</w:t>
            </w:r>
          </w:p>
          <w:p w14:paraId="2AD5A40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提供可运行的Demo原型</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支持本地部署或云端演示</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并附操作说明视频。</w:t>
            </w:r>
          </w:p>
          <w:p w14:paraId="4A901D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提交系统测试报告，需包含在模拟装载场景下的识别准确率、响应时间等关键指标。</w:t>
            </w:r>
          </w:p>
          <w:p w14:paraId="286804C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时间节点：</w:t>
            </w:r>
          </w:p>
          <w:p w14:paraId="63B5D7D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方案及原型提交：2026年4月25日前</w:t>
            </w:r>
          </w:p>
          <w:p w14:paraId="7A2834D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内容要求：</w:t>
            </w:r>
          </w:p>
          <w:p w14:paraId="56EB15B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必须针对间距不足、前后超框、车门未关三类违规场景提供完整的识别方案。</w:t>
            </w:r>
          </w:p>
          <w:p w14:paraId="77A7554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需明确标注模型在真实装载照片数据集上的准确率≥90%、单图处理时间≤2秒的性能指标</w:t>
            </w:r>
          </w:p>
          <w:p w14:paraId="34B283A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需包含问题自动记录与推送功能的流程设计，确保与现有物流管理系统的可衔接性。</w:t>
            </w:r>
          </w:p>
        </w:tc>
      </w:tr>
      <w:tr w14:paraId="2AD5CB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9" w:type="dxa"/>
          <w:trHeight w:val="5740" w:hRule="atLeast"/>
        </w:trPr>
        <w:tc>
          <w:tcPr>
            <w:tcW w:w="1832" w:type="dxa"/>
            <w:gridSpan w:val="2"/>
            <w:vAlign w:val="center"/>
          </w:tcPr>
          <w:p w14:paraId="7154DC2C">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6AFF766F">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27" w:type="dxa"/>
            <w:gridSpan w:val="2"/>
            <w:vAlign w:val="center"/>
          </w:tcPr>
          <w:p w14:paraId="3D7BB2D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技术创新性：</w:t>
            </w:r>
          </w:p>
          <w:p w14:paraId="20FE7B4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优：采用轻量化算法或小样本学习方案，适配复杂光线/角度场景；</w:t>
            </w:r>
          </w:p>
          <w:p w14:paraId="2466D6A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劣：仅使用通用开源模型，未针对装载场景做优化。</w:t>
            </w:r>
          </w:p>
          <w:p w14:paraId="5D79229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落地可行性：</w:t>
            </w:r>
          </w:p>
          <w:p w14:paraId="606966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优：提供清晰的部署方案、硬件成本测算及企业适配路径；劣：仅停留在算法理论，无实际落地规划</w:t>
            </w:r>
          </w:p>
          <w:p w14:paraId="700CBF1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识别准确率：</w:t>
            </w:r>
          </w:p>
          <w:p w14:paraId="237D8F2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优：四类违规场景综合准确率≥90%</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漏判率≤5%;</w:t>
            </w:r>
          </w:p>
          <w:p w14:paraId="5457203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劣：准确率&lt;80%</w:t>
            </w:r>
            <w:r>
              <w:rPr>
                <w:rFonts w:hint="eastAsia" w:ascii="仿宋_GB2312" w:hAnsi="仿宋_GB2312" w:eastAsia="仿宋_GB2312" w:cs="仿宋_GB2312"/>
                <w:bCs/>
                <w:color w:val="000000"/>
                <w:spacing w:val="6"/>
                <w:szCs w:val="28"/>
                <w:lang w:val="en-US" w:eastAsia="zh-CN"/>
              </w:rPr>
              <w:t>，</w:t>
            </w:r>
            <w:r>
              <w:rPr>
                <w:rFonts w:hint="eastAsia" w:ascii="仿宋_GB2312" w:hAnsi="仿宋_GB2312" w:eastAsia="仿宋_GB2312" w:cs="仿宋_GB2312"/>
                <w:bCs/>
                <w:color w:val="000000"/>
                <w:spacing w:val="6"/>
                <w:szCs w:val="28"/>
                <w:lang w:val="en-US"/>
              </w:rPr>
              <w:t>或单一场景识别失效。</w:t>
            </w:r>
          </w:p>
          <w:p w14:paraId="5E27C11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功能完整性：</w:t>
            </w:r>
          </w:p>
          <w:p w14:paraId="2A6259E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优：包含违规定位、自动记录、消息推送全流程功能：</w:t>
            </w:r>
          </w:p>
          <w:p w14:paraId="6AC132C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劣：仅实现基础识别，无后续处理链路</w:t>
            </w:r>
          </w:p>
        </w:tc>
      </w:tr>
    </w:tbl>
    <w:p w14:paraId="7C4C94CC">
      <w:pPr>
        <w:sectPr>
          <w:footerReference r:id="rId6" w:type="default"/>
          <w:pgSz w:w="11906" w:h="16838"/>
          <w:pgMar w:top="1440" w:right="1800" w:bottom="1440" w:left="1800" w:header="0" w:footer="1101" w:gutter="0"/>
          <w:cols w:space="720" w:num="1"/>
        </w:sectPr>
      </w:pPr>
    </w:p>
    <w:tbl>
      <w:tblPr>
        <w:tblStyle w:val="27"/>
        <w:tblW w:w="8440" w:type="dxa"/>
        <w:tblInd w:w="3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3"/>
        <w:gridCol w:w="6637"/>
      </w:tblGrid>
      <w:tr w14:paraId="3C8BF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0" w:hRule="atLeast"/>
        </w:trPr>
        <w:tc>
          <w:tcPr>
            <w:tcW w:w="1803" w:type="dxa"/>
            <w:vAlign w:val="center"/>
          </w:tcPr>
          <w:p w14:paraId="6008A961">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37" w:type="dxa"/>
            <w:vAlign w:val="center"/>
          </w:tcPr>
          <w:p w14:paraId="5E6AEE0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数据准备：优先使用真实物流场景照片构建数据集，避免仅依赖合成数据导致泛化能力不足</w:t>
            </w:r>
          </w:p>
          <w:p w14:paraId="7FA79CF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场景适配：重点优化对夜间、雨天、不同车型的识别鲁棒性，提升方案的实际业务价值</w:t>
            </w:r>
          </w:p>
        </w:tc>
      </w:tr>
    </w:tbl>
    <w:p w14:paraId="3A37EEA6">
      <w:pPr>
        <w:tabs>
          <w:tab w:val="left" w:pos="8640"/>
        </w:tabs>
        <w:adjustRightInd w:val="0"/>
        <w:snapToGrid w:val="0"/>
        <w:spacing w:line="440" w:lineRule="exact"/>
        <w:rPr>
          <w:rFonts w:hint="eastAsia" w:ascii="方正黑体简体" w:hAnsi="Times New Roman" w:eastAsia="方正黑体简体" w:cs="Times New Roman"/>
          <w:bCs/>
          <w:spacing w:val="6"/>
          <w:sz w:val="32"/>
          <w:szCs w:val="32"/>
        </w:rPr>
      </w:pPr>
      <w:r>
        <w:rPr>
          <w:rFonts w:hint="eastAsia" w:ascii="方正黑体简体" w:hAnsi="Times New Roman" w:eastAsia="方正黑体简体" w:cs="Times New Roman"/>
          <w:bCs/>
          <w:spacing w:val="6"/>
          <w:sz w:val="32"/>
          <w:szCs w:val="32"/>
        </w:rPr>
        <w:t>三、激励保障</w:t>
      </w:r>
    </w:p>
    <w:tbl>
      <w:tblPr>
        <w:tblStyle w:val="27"/>
        <w:tblW w:w="8488" w:type="dxa"/>
        <w:tblInd w:w="2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13"/>
        <w:gridCol w:w="6675"/>
      </w:tblGrid>
      <w:tr w14:paraId="16924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13" w:type="dxa"/>
            <w:vAlign w:val="center"/>
          </w:tcPr>
          <w:p w14:paraId="6B25370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保障措施</w:t>
            </w:r>
          </w:p>
        </w:tc>
        <w:tc>
          <w:tcPr>
            <w:tcW w:w="6675" w:type="dxa"/>
            <w:vAlign w:val="center"/>
          </w:tcPr>
          <w:p w14:paraId="4FD6916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1.</w:t>
            </w:r>
            <w:r>
              <w:rPr>
                <w:rFonts w:hint="eastAsia" w:ascii="仿宋_GB2312" w:hAnsi="仿宋_GB2312" w:eastAsia="仿宋_GB2312" w:cs="仿宋_GB2312"/>
                <w:bCs/>
                <w:color w:val="000000"/>
                <w:spacing w:val="6"/>
                <w:szCs w:val="28"/>
                <w:lang w:val="en-US"/>
              </w:rPr>
              <w:t>实践调研：在团队报名后10个工作日内，安排参赛团队赴整车物流装载作业现场进行实地参观，深度了解真实业务场景、装载标准及现存痛点</w:t>
            </w:r>
          </w:p>
          <w:p w14:paraId="5FBEE6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2.</w:t>
            </w:r>
            <w:r>
              <w:rPr>
                <w:rFonts w:hint="eastAsia" w:ascii="仿宋_GB2312" w:hAnsi="仿宋_GB2312" w:eastAsia="仿宋_GB2312" w:cs="仿宋_GB2312"/>
                <w:bCs/>
                <w:color w:val="000000"/>
                <w:spacing w:val="6"/>
                <w:szCs w:val="28"/>
                <w:lang w:val="en-US"/>
              </w:rPr>
              <w:t>数据资料：在方案启动阶段，提供包含1000+张真实装载场景照片的标注数据集，以及典型违规案例分析，为模型训练提供基础支撑。</w:t>
            </w:r>
          </w:p>
          <w:p w14:paraId="05945644">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3.</w:t>
            </w:r>
            <w:r>
              <w:rPr>
                <w:rFonts w:hint="eastAsia" w:ascii="仿宋_GB2312" w:hAnsi="仿宋_GB2312" w:eastAsia="仿宋_GB2312" w:cs="仿宋_GB2312"/>
                <w:bCs/>
                <w:color w:val="000000"/>
                <w:spacing w:val="6"/>
                <w:szCs w:val="28"/>
                <w:lang w:val="en-US"/>
              </w:rPr>
              <w:t>专人对接：配备1名整车物流业务专家作为专属指导，自团队确认入选之日起，提供每周1次的线上答疑及月度线下技术交流。</w:t>
            </w:r>
          </w:p>
          <w:p w14:paraId="459BD9B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所有支持措施均由我方专项项目组负责推进，明确时间节点与责任人，确保资源按时到位。团队若需额外支持，可随时通过专属对接渠道提出需求，我方将在3个工作日内响应并协调资源。</w:t>
            </w:r>
          </w:p>
        </w:tc>
      </w:tr>
      <w:tr w14:paraId="5F124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813" w:type="dxa"/>
            <w:vAlign w:val="center"/>
          </w:tcPr>
          <w:p w14:paraId="008D6AB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w:t>
            </w:r>
          </w:p>
          <w:p w14:paraId="45F1020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励措施</w:t>
            </w:r>
          </w:p>
        </w:tc>
        <w:tc>
          <w:tcPr>
            <w:tcW w:w="6675" w:type="dxa"/>
            <w:vAlign w:val="center"/>
          </w:tcPr>
          <w:p w14:paraId="7DAAF13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3DDFCF4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7FC0BB0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擂主团队将作为后期创业实践合作主体</w:t>
            </w:r>
          </w:p>
          <w:p w14:paraId="37553C1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二、激励措施</w:t>
            </w:r>
          </w:p>
          <w:p w14:paraId="48FB6DC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擂主团队：直接签约进入创业实践阶段，提供项目支持及办公场地，核心成员可获得中都数科正式录用资格</w:t>
            </w:r>
          </w:p>
          <w:p w14:paraId="1B99693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特等奖、一等奖团队：提供中都数科实习绿色通道，表现优异者可优先获得校招offer.</w:t>
            </w:r>
          </w:p>
          <w:p w14:paraId="74A17F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三等奖团队：提供中都数科实习、实践机会</w:t>
            </w:r>
          </w:p>
        </w:tc>
      </w:tr>
    </w:tbl>
    <w:p w14:paraId="34DA5EA1">
      <w:pPr>
        <w:pStyle w:val="4"/>
      </w:pPr>
    </w:p>
    <w:p w14:paraId="37F560F4">
      <w:pPr>
        <w:spacing w:before="104" w:line="220" w:lineRule="auto"/>
        <w:ind w:left="89"/>
        <w:outlineLvl w:val="1"/>
        <w:rPr>
          <w:rFonts w:hint="eastAsia" w:ascii="黑体" w:hAnsi="黑体" w:eastAsia="黑体" w:cs="黑体"/>
          <w:sz w:val="32"/>
          <w:szCs w:val="32"/>
        </w:rPr>
      </w:pPr>
      <w:r>
        <w:rPr>
          <w:rFonts w:hint="eastAsia" w:ascii="黑体" w:hAnsi="黑体" w:eastAsia="黑体" w:cs="黑体"/>
          <w:b/>
          <w:bCs/>
          <w:spacing w:val="-3"/>
          <w:sz w:val="32"/>
          <w:szCs w:val="32"/>
        </w:rPr>
        <w:t>四、选题意义</w:t>
      </w:r>
    </w:p>
    <w:p w14:paraId="263073A0">
      <w:pPr>
        <w:spacing w:line="42" w:lineRule="auto"/>
        <w:rPr>
          <w:rFonts w:ascii="Arial"/>
          <w:sz w:val="2"/>
        </w:rPr>
      </w:pPr>
    </w:p>
    <w:tbl>
      <w:tblPr>
        <w:tblStyle w:val="27"/>
        <w:tblW w:w="8330" w:type="dxa"/>
        <w:tblInd w:w="2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63"/>
        <w:gridCol w:w="6567"/>
      </w:tblGrid>
      <w:tr w14:paraId="592F7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0" w:hRule="atLeast"/>
        </w:trPr>
        <w:tc>
          <w:tcPr>
            <w:tcW w:w="1763" w:type="dxa"/>
            <w:vAlign w:val="center"/>
          </w:tcPr>
          <w:p w14:paraId="7E422B88">
            <w:pPr>
              <w:pStyle w:val="28"/>
              <w:spacing w:before="81"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3"/>
                <w:sz w:val="28"/>
                <w:szCs w:val="28"/>
              </w:rPr>
              <w:t>技术意义</w:t>
            </w:r>
          </w:p>
        </w:tc>
        <w:tc>
          <w:tcPr>
            <w:tcW w:w="6567" w:type="dxa"/>
            <w:vAlign w:val="top"/>
          </w:tcPr>
          <w:p w14:paraId="3F7C3362">
            <w:pPr>
              <w:pStyle w:val="28"/>
              <w:keepNext w:val="0"/>
              <w:keepLines w:val="0"/>
              <w:pageBreakBefore w:val="0"/>
              <w:widowControl/>
              <w:kinsoku w:val="0"/>
              <w:wordWrap/>
              <w:overflowPunct/>
              <w:topLinePunct w:val="0"/>
              <w:autoSpaceDE w:val="0"/>
              <w:autoSpaceDN w:val="0"/>
              <w:bidi w:val="0"/>
              <w:adjustRightInd w:val="0"/>
              <w:snapToGrid w:val="0"/>
              <w:spacing w:before="64" w:line="240" w:lineRule="auto"/>
              <w:ind w:left="31" w:firstLine="509"/>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本选题旨在攻克复杂物流场景下的计算机视觉精准识别</w:t>
            </w:r>
            <w:r>
              <w:rPr>
                <w:rFonts w:hint="eastAsia" w:ascii="仿宋_GB2312" w:hAnsi="仿宋_GB2312" w:eastAsia="仿宋_GB2312" w:cs="仿宋_GB2312"/>
                <w:spacing w:val="14"/>
                <w:sz w:val="24"/>
                <w:szCs w:val="24"/>
              </w:rPr>
              <w:t xml:space="preserve"> </w:t>
            </w:r>
            <w:r>
              <w:rPr>
                <w:rFonts w:hint="eastAsia" w:ascii="仿宋_GB2312" w:hAnsi="仿宋_GB2312" w:eastAsia="仿宋_GB2312" w:cs="仿宋_GB2312"/>
                <w:sz w:val="24"/>
                <w:szCs w:val="24"/>
              </w:rPr>
              <w:t>这一关键技术难题。针对传统人工审核效率低、标准难统一</w:t>
            </w:r>
            <w:r>
              <w:rPr>
                <w:rFonts w:hint="eastAsia" w:ascii="仿宋_GB2312" w:hAnsi="仿宋_GB2312" w:eastAsia="仿宋_GB2312" w:cs="仿宋_GB2312"/>
                <w:spacing w:val="6"/>
                <w:sz w:val="24"/>
                <w:szCs w:val="24"/>
              </w:rPr>
              <w:t xml:space="preserve"> </w:t>
            </w:r>
            <w:r>
              <w:rPr>
                <w:rFonts w:hint="eastAsia" w:ascii="仿宋_GB2312" w:hAnsi="仿宋_GB2312" w:eastAsia="仿宋_GB2312" w:cs="仿宋_GB2312"/>
                <w:spacing w:val="1"/>
                <w:sz w:val="24"/>
                <w:szCs w:val="24"/>
              </w:rPr>
              <w:t>的行业痛点，利用</w:t>
            </w:r>
            <w:r>
              <w:rPr>
                <w:rFonts w:hint="eastAsia" w:ascii="仿宋_GB2312" w:hAnsi="仿宋_GB2312" w:eastAsia="仿宋_GB2312" w:cs="仿宋_GB2312"/>
                <w:sz w:val="24"/>
                <w:szCs w:val="24"/>
              </w:rPr>
              <w:t>AI</w:t>
            </w:r>
            <w:r>
              <w:rPr>
                <w:rFonts w:hint="eastAsia" w:ascii="仿宋_GB2312" w:hAnsi="仿宋_GB2312" w:eastAsia="仿宋_GB2312" w:cs="仿宋_GB2312"/>
                <w:spacing w:val="1"/>
                <w:sz w:val="24"/>
                <w:szCs w:val="24"/>
              </w:rPr>
              <w:t>技术突破非结构化图像数据的自动化合</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spacing w:val="2"/>
                <w:sz w:val="24"/>
                <w:szCs w:val="24"/>
              </w:rPr>
              <w:t>规检测瓶颈。</w:t>
            </w:r>
          </w:p>
          <w:p w14:paraId="1EE04032">
            <w:pPr>
              <w:pStyle w:val="28"/>
              <w:keepNext w:val="0"/>
              <w:keepLines w:val="0"/>
              <w:pageBreakBefore w:val="0"/>
              <w:widowControl/>
              <w:kinsoku w:val="0"/>
              <w:wordWrap/>
              <w:overflowPunct/>
              <w:topLinePunct w:val="0"/>
              <w:autoSpaceDE w:val="0"/>
              <w:autoSpaceDN w:val="0"/>
              <w:bidi w:val="0"/>
              <w:adjustRightInd w:val="0"/>
              <w:snapToGrid w:val="0"/>
              <w:spacing w:before="1" w:line="240" w:lineRule="auto"/>
              <w:ind w:left="51" w:firstLine="499"/>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该项目不仅能解决整车物流装载环节“监管滞后”的产</w:t>
            </w:r>
            <w:r>
              <w:rPr>
                <w:rFonts w:hint="eastAsia" w:ascii="仿宋_GB2312" w:hAnsi="仿宋_GB2312" w:eastAsia="仿宋_GB2312" w:cs="仿宋_GB2312"/>
                <w:spacing w:val="4"/>
                <w:sz w:val="24"/>
                <w:szCs w:val="24"/>
              </w:rPr>
              <w:t xml:space="preserve"> </w:t>
            </w:r>
            <w:r>
              <w:rPr>
                <w:rFonts w:hint="eastAsia" w:ascii="仿宋_GB2312" w:hAnsi="仿宋_GB2312" w:eastAsia="仿宋_GB2312" w:cs="仿宋_GB2312"/>
                <w:sz w:val="24"/>
                <w:szCs w:val="24"/>
              </w:rPr>
              <w:t xml:space="preserve">业难题，更能推动物流行业从“人治”向“数治”转型，为 </w:t>
            </w:r>
            <w:r>
              <w:rPr>
                <w:rFonts w:hint="eastAsia" w:ascii="仿宋_GB2312" w:hAnsi="仿宋_GB2312" w:eastAsia="仿宋_GB2312" w:cs="仿宋_GB2312"/>
                <w:spacing w:val="-1"/>
                <w:sz w:val="24"/>
                <w:szCs w:val="24"/>
              </w:rPr>
              <w:t>智慧物流的视觉感知技术提供可落地的解决方案。</w:t>
            </w:r>
          </w:p>
        </w:tc>
      </w:tr>
      <w:tr w14:paraId="2D6D4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9" w:hRule="atLeast"/>
        </w:trPr>
        <w:tc>
          <w:tcPr>
            <w:tcW w:w="1763" w:type="dxa"/>
            <w:vAlign w:val="center"/>
          </w:tcPr>
          <w:p w14:paraId="3AAD994B">
            <w:pPr>
              <w:pStyle w:val="28"/>
              <w:spacing w:before="82" w:line="219" w:lineRule="auto"/>
              <w:jc w:val="center"/>
              <w:rPr>
                <w:rFonts w:hint="eastAsia" w:ascii="楷体_GB2312" w:hAnsi="楷体_GB2312" w:eastAsia="楷体_GB2312" w:cs="楷体_GB2312"/>
                <w:sz w:val="28"/>
                <w:szCs w:val="28"/>
              </w:rPr>
            </w:pPr>
            <w:r>
              <w:rPr>
                <w:rFonts w:hint="eastAsia" w:ascii="楷体_GB2312" w:hAnsi="楷体_GB2312" w:eastAsia="楷体_GB2312" w:cs="楷体_GB2312"/>
                <w:spacing w:val="1"/>
                <w:sz w:val="28"/>
                <w:szCs w:val="28"/>
              </w:rPr>
              <w:t>经济社会效益</w:t>
            </w:r>
          </w:p>
        </w:tc>
        <w:tc>
          <w:tcPr>
            <w:tcW w:w="6567" w:type="dxa"/>
            <w:vAlign w:val="top"/>
          </w:tcPr>
          <w:p w14:paraId="2637017D">
            <w:pPr>
              <w:pStyle w:val="28"/>
              <w:keepNext w:val="0"/>
              <w:keepLines w:val="0"/>
              <w:pageBreakBefore w:val="0"/>
              <w:widowControl/>
              <w:kinsoku w:val="0"/>
              <w:wordWrap/>
              <w:overflowPunct/>
              <w:topLinePunct w:val="0"/>
              <w:autoSpaceDE w:val="0"/>
              <w:autoSpaceDN w:val="0"/>
              <w:bidi w:val="0"/>
              <w:adjustRightInd w:val="0"/>
              <w:snapToGrid w:val="0"/>
              <w:spacing w:before="77" w:line="240" w:lineRule="auto"/>
              <w:ind w:left="41" w:right="3" w:firstLine="500"/>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经济效益：可替代整车物流装载环节人工审核，降低企</w:t>
            </w:r>
            <w:r>
              <w:rPr>
                <w:rFonts w:hint="eastAsia" w:ascii="仿宋_GB2312" w:hAnsi="仿宋_GB2312" w:eastAsia="仿宋_GB2312" w:cs="仿宋_GB2312"/>
                <w:spacing w:val="9"/>
                <w:sz w:val="24"/>
                <w:szCs w:val="24"/>
              </w:rPr>
              <w:t xml:space="preserve"> </w:t>
            </w:r>
            <w:r>
              <w:rPr>
                <w:rFonts w:hint="eastAsia" w:ascii="仿宋_GB2312" w:hAnsi="仿宋_GB2312" w:eastAsia="仿宋_GB2312" w:cs="仿宋_GB2312"/>
                <w:spacing w:val="1"/>
                <w:sz w:val="24"/>
                <w:szCs w:val="24"/>
              </w:rPr>
              <w:t xml:space="preserve">业人力成本30%以上，提升装载合规率与运输效率，减少因  </w:t>
            </w:r>
            <w:r>
              <w:rPr>
                <w:rFonts w:hint="eastAsia" w:ascii="仿宋_GB2312" w:hAnsi="仿宋_GB2312" w:eastAsia="仿宋_GB2312" w:cs="仿宋_GB2312"/>
                <w:sz w:val="24"/>
                <w:szCs w:val="24"/>
              </w:rPr>
              <w:t>违规装载导致的质损，其技术方案可推广至全物流行业，形</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pacing w:val="-1"/>
                <w:sz w:val="24"/>
                <w:szCs w:val="24"/>
              </w:rPr>
              <w:t>成规模化经济价值。</w:t>
            </w:r>
          </w:p>
          <w:p w14:paraId="3B6C4D7D">
            <w:pPr>
              <w:pStyle w:val="28"/>
              <w:keepNext w:val="0"/>
              <w:keepLines w:val="0"/>
              <w:pageBreakBefore w:val="0"/>
              <w:widowControl/>
              <w:kinsoku w:val="0"/>
              <w:wordWrap/>
              <w:overflowPunct/>
              <w:topLinePunct w:val="0"/>
              <w:autoSpaceDE w:val="0"/>
              <w:autoSpaceDN w:val="0"/>
              <w:bidi w:val="0"/>
              <w:adjustRightInd w:val="0"/>
              <w:snapToGrid w:val="0"/>
              <w:spacing w:before="1" w:line="240" w:lineRule="auto"/>
              <w:ind w:left="31" w:right="3" w:firstLine="510"/>
              <w:jc w:val="both"/>
              <w:textAlignment w:val="baseline"/>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社会效益：助力物流行业数字化转型，提升运输安全水</w:t>
            </w:r>
            <w:r>
              <w:rPr>
                <w:rFonts w:hint="eastAsia" w:ascii="仿宋_GB2312" w:hAnsi="仿宋_GB2312" w:eastAsia="仿宋_GB2312" w:cs="仿宋_GB2312"/>
                <w:spacing w:val="10"/>
                <w:sz w:val="24"/>
                <w:szCs w:val="24"/>
              </w:rPr>
              <w:t xml:space="preserve"> </w:t>
            </w:r>
            <w:r>
              <w:rPr>
                <w:rFonts w:hint="eastAsia" w:ascii="仿宋_GB2312" w:hAnsi="仿宋_GB2312" w:eastAsia="仿宋_GB2312" w:cs="仿宋_GB2312"/>
                <w:sz w:val="24"/>
                <w:szCs w:val="24"/>
              </w:rPr>
              <w:t>平，减少道路安全隐患；推动AI技术在传统产业落地应用，</w:t>
            </w:r>
            <w:r>
              <w:rPr>
                <w:rFonts w:hint="eastAsia" w:ascii="仿宋_GB2312" w:hAnsi="仿宋_GB2312" w:eastAsia="仿宋_GB2312" w:cs="仿宋_GB2312"/>
                <w:spacing w:val="3"/>
                <w:sz w:val="24"/>
                <w:szCs w:val="24"/>
              </w:rPr>
              <w:t xml:space="preserve"> </w:t>
            </w:r>
            <w:r>
              <w:rPr>
                <w:rFonts w:hint="eastAsia" w:ascii="仿宋_GB2312" w:hAnsi="仿宋_GB2312" w:eastAsia="仿宋_GB2312" w:cs="仿宋_GB2312"/>
                <w:spacing w:val="-1"/>
                <w:sz w:val="24"/>
                <w:szCs w:val="24"/>
              </w:rPr>
              <w:t>深化产教融合，培养复合型技术人才，为智慧物流发展提供</w:t>
            </w:r>
            <w:r>
              <w:rPr>
                <w:rFonts w:hint="eastAsia" w:ascii="仿宋_GB2312" w:hAnsi="仿宋_GB2312" w:eastAsia="仿宋_GB2312" w:cs="仿宋_GB2312"/>
                <w:spacing w:val="15"/>
                <w:sz w:val="24"/>
                <w:szCs w:val="24"/>
              </w:rPr>
              <w:t xml:space="preserve"> </w:t>
            </w:r>
            <w:r>
              <w:rPr>
                <w:rFonts w:hint="eastAsia" w:ascii="仿宋_GB2312" w:hAnsi="仿宋_GB2312" w:eastAsia="仿宋_GB2312" w:cs="仿宋_GB2312"/>
                <w:spacing w:val="1"/>
                <w:sz w:val="24"/>
                <w:szCs w:val="24"/>
              </w:rPr>
              <w:t>支撑。</w:t>
            </w:r>
          </w:p>
        </w:tc>
      </w:tr>
    </w:tbl>
    <w:p w14:paraId="433D6334">
      <w:pPr>
        <w:sectPr>
          <w:footerReference r:id="rId7" w:type="default"/>
          <w:pgSz w:w="12190" w:h="17040"/>
          <w:pgMar w:top="1440" w:right="1800" w:bottom="1440" w:left="1800" w:header="0" w:footer="1151" w:gutter="0"/>
          <w:cols w:space="720" w:num="1"/>
        </w:sectPr>
      </w:pPr>
    </w:p>
    <w:p w14:paraId="6190FC4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3BBA26E5">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6</w:t>
      </w:r>
    </w:p>
    <w:p w14:paraId="7FE9FA01">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6C9FAE05">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4A04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679149E4">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EFD622C">
            <w:pPr>
              <w:adjustRightInd w:val="0"/>
              <w:snapToGrid w:val="0"/>
              <w:jc w:val="center"/>
              <w:rPr>
                <w:rFonts w:ascii="仿宋_GB2312" w:hAnsi="仿宋_GB2312" w:eastAsia="仿宋_GB2312" w:cs="仿宋_GB2312"/>
              </w:rPr>
            </w:pPr>
            <w:r>
              <w:rPr>
                <w:rFonts w:ascii="仿宋_GB2312" w:hAnsi="仿宋_GB2312" w:eastAsia="仿宋_GB2312" w:cs="仿宋_GB2312"/>
                <w:bCs/>
                <w:color w:val="000000"/>
                <w:spacing w:val="6"/>
                <w:szCs w:val="28"/>
              </w:rPr>
              <w:t>中讯邮电咨询设计院有限公司</w:t>
            </w:r>
          </w:p>
        </w:tc>
      </w:tr>
      <w:tr w14:paraId="61D2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55FC0BE4">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2EA823C0">
            <w:pPr>
              <w:adjustRightInd w:val="0"/>
              <w:snapToGrid w:val="0"/>
              <w:jc w:val="center"/>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国有企业</w:t>
            </w:r>
          </w:p>
        </w:tc>
      </w:tr>
      <w:tr w14:paraId="7C72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FEC0D29">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2CDA0234">
            <w:pPr>
              <w:adjustRightInd w:val="0"/>
              <w:jc w:val="center"/>
              <w:rPr>
                <w:rFonts w:ascii="仿宋_GB2312" w:hAnsi="仿宋_GB2312" w:eastAsia="仿宋_GB2312" w:cs="仿宋_GB2312"/>
              </w:rPr>
            </w:pPr>
            <w:r>
              <w:rPr>
                <w:rFonts w:hint="eastAsia" w:ascii="仿宋_GB2312" w:hAnsi="仿宋_GB2312" w:eastAsia="仿宋_GB2312" w:cs="仿宋_GB2312"/>
              </w:rPr>
              <w:t>北京市海淀区首体南路9号3#楼101</w:t>
            </w:r>
          </w:p>
        </w:tc>
      </w:tr>
      <w:tr w14:paraId="01BA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0B83EB58">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650A88CA">
            <w:pPr>
              <w:adjustRightInd w:val="0"/>
              <w:snapToGrid w:val="0"/>
              <w:ind w:firstLine="504" w:firstLineChars="200"/>
              <w:jc w:val="both"/>
              <w:rPr>
                <w:rFonts w:ascii="宋体" w:hAnsi="宋体" w:eastAsia="宋体" w:cs="宋体"/>
              </w:rPr>
            </w:pPr>
            <w:r>
              <w:rPr>
                <w:rFonts w:ascii="仿宋_GB2312" w:hAnsi="仿宋_GB2312" w:eastAsia="仿宋_GB2312" w:cs="仿宋_GB2312"/>
                <w:bCs/>
                <w:color w:val="000000"/>
                <w:spacing w:val="6"/>
                <w:szCs w:val="28"/>
              </w:rPr>
              <w:t>中讯邮电咨询设计院有限公司（CITC），原名邮电部设计院，1952年创建于北京。2006年成为中国联通全资子公司，是国家“高新技术企业”，入选“创建世界一流专精特新示范企业”。近年来3项科研成果获国家科技进步奖，国家级优秀设计奖和优秀咨询奖近200项，各类省部级优秀奖1500余项，承担国家重大科技专项近20项。公司以国家战略需求为导向，坚持战略性、前瞻性和应用性，大力推动科技创新，布局战新和未来产业，开展人工智能、下一代互联网、业务智能化等关键核心技术攻关，实现联接+感知+计算+智能+安全的一体化信息通信服务。</w:t>
            </w:r>
          </w:p>
        </w:tc>
      </w:tr>
      <w:tr w14:paraId="252D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08E22CB5">
            <w:pPr>
              <w:adjustRightInd w:val="0"/>
              <w:snapToGrid w:val="0"/>
              <w:ind w:firstLine="280" w:firstLineChars="100"/>
              <w:jc w:val="both"/>
              <w:rPr>
                <w:rFonts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4375AEE4">
            <w:pPr>
              <w:adjustRightInd w:val="0"/>
              <w:snapToGrid w:val="0"/>
              <w:jc w:val="both"/>
              <w:rPr>
                <w:rFonts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eastAsia="zh-CN"/>
              </w:rPr>
              <w:t>刘梦琪</w:t>
            </w:r>
          </w:p>
        </w:tc>
        <w:tc>
          <w:tcPr>
            <w:tcW w:w="1073" w:type="dxa"/>
            <w:vAlign w:val="center"/>
          </w:tcPr>
          <w:p w14:paraId="5B082683">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5555F724">
            <w:pPr>
              <w:adjustRightInd w:val="0"/>
              <w:jc w:val="center"/>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A</w:t>
            </w:r>
            <w:r>
              <w:rPr>
                <w:rFonts w:ascii="仿宋_GB2312" w:hAnsi="仿宋_GB2312" w:eastAsia="仿宋_GB2312" w:cs="仿宋_GB2312"/>
                <w:bCs/>
                <w:color w:val="000000"/>
                <w:spacing w:val="6"/>
                <w:szCs w:val="28"/>
              </w:rPr>
              <w:t>I</w:t>
            </w:r>
            <w:r>
              <w:rPr>
                <w:rFonts w:hint="eastAsia" w:ascii="仿宋_GB2312" w:hAnsi="仿宋_GB2312" w:eastAsia="仿宋_GB2312" w:cs="仿宋_GB2312"/>
                <w:bCs/>
                <w:color w:val="000000"/>
                <w:spacing w:val="6"/>
                <w:szCs w:val="28"/>
              </w:rPr>
              <w:t>算法专家</w:t>
            </w:r>
          </w:p>
        </w:tc>
      </w:tr>
      <w:tr w14:paraId="45EFD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07A4801A">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25071ADC">
            <w:pPr>
              <w:adjustRightInd w:val="0"/>
              <w:snapToGrid w:val="0"/>
              <w:jc w:val="both"/>
              <w:rPr>
                <w:rFonts w:ascii="仿宋_GB2312" w:hAnsi="仿宋_GB2312" w:eastAsia="仿宋_GB2312" w:cs="仿宋_GB2312"/>
                <w:bCs/>
                <w:spacing w:val="6"/>
                <w:szCs w:val="28"/>
                <w:highlight w:val="yellow"/>
                <w:lang w:val="en-US"/>
              </w:rPr>
            </w:pPr>
            <w:r>
              <w:rPr>
                <w:rFonts w:hint="eastAsia" w:ascii="仿宋_GB2312" w:hAnsi="仿宋_GB2312" w:eastAsia="仿宋_GB2312" w:cs="仿宋_GB2312"/>
                <w:bCs/>
                <w:spacing w:val="6"/>
                <w:szCs w:val="28"/>
                <w:highlight w:val="none"/>
                <w:lang w:val="en-US" w:eastAsia="zh-CN"/>
              </w:rPr>
              <w:t>18526823996</w:t>
            </w:r>
          </w:p>
        </w:tc>
        <w:tc>
          <w:tcPr>
            <w:tcW w:w="1073" w:type="dxa"/>
            <w:vAlign w:val="center"/>
          </w:tcPr>
          <w:p w14:paraId="2FB751DD">
            <w:pPr>
              <w:adjustRightInd w:val="0"/>
              <w:spacing w:line="560" w:lineRule="exact"/>
              <w:jc w:val="center"/>
              <w:rPr>
                <w:rFonts w:ascii="楷体_GB2312" w:hAnsi="楷体_GB2312" w:eastAsia="楷体_GB2312" w:cs="楷体_GB2312"/>
                <w:sz w:val="28"/>
                <w:szCs w:val="32"/>
                <w:highlight w:val="yellow"/>
              </w:rPr>
            </w:pPr>
            <w:r>
              <w:rPr>
                <w:rFonts w:hint="eastAsia" w:ascii="楷体_GB2312" w:hAnsi="楷体_GB2312" w:eastAsia="楷体_GB2312" w:cs="楷体_GB2312"/>
                <w:sz w:val="28"/>
                <w:szCs w:val="32"/>
                <w:highlight w:val="none"/>
              </w:rPr>
              <w:t>微信</w:t>
            </w:r>
          </w:p>
        </w:tc>
        <w:tc>
          <w:tcPr>
            <w:tcW w:w="2783" w:type="dxa"/>
            <w:vAlign w:val="center"/>
          </w:tcPr>
          <w:p w14:paraId="4A106B0D">
            <w:pPr>
              <w:adjustRightInd w:val="0"/>
              <w:jc w:val="center"/>
              <w:rPr>
                <w:rFonts w:eastAsia="方正仿宋简体"/>
                <w:highlight w:val="yellow"/>
              </w:rPr>
            </w:pPr>
            <w:r>
              <w:rPr>
                <w:rFonts w:hint="default" w:eastAsia="方正仿宋简体"/>
                <w:highlight w:val="none"/>
                <w:lang w:val="en-US" w:eastAsia="zh-CN"/>
              </w:rPr>
              <w:t>m</w:t>
            </w:r>
            <w:r>
              <w:rPr>
                <w:rFonts w:hint="eastAsia" w:eastAsia="方正仿宋简体"/>
                <w:highlight w:val="none"/>
                <w:lang w:val="en-US" w:eastAsia="zh-CN"/>
              </w:rPr>
              <w:t>engqi</w:t>
            </w:r>
            <w:r>
              <w:rPr>
                <w:rFonts w:hint="default" w:eastAsia="方正仿宋简体"/>
                <w:highlight w:val="none"/>
                <w:lang w:val="en-US" w:eastAsia="zh-CN"/>
              </w:rPr>
              <w:t>_liu1995</w:t>
            </w:r>
          </w:p>
        </w:tc>
      </w:tr>
    </w:tbl>
    <w:p w14:paraId="5580B352">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3F29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A4EC278">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31D678">
            <w:pPr>
              <w:adjustRightInd w:val="0"/>
              <w:snapToGrid w:val="0"/>
              <w:jc w:val="center"/>
              <w:rPr>
                <w:rFonts w:ascii="仿宋_GB2312" w:hAnsi="仿宋_GB2312" w:eastAsia="仿宋_GB2312" w:cs="仿宋_GB2312"/>
                <w:color w:val="000000"/>
              </w:rPr>
            </w:pPr>
            <w:r>
              <w:rPr>
                <w:rFonts w:ascii="仿宋_GB2312" w:hAnsi="仿宋_GB2312" w:eastAsia="仿宋_GB2312" w:cs="仿宋_GB2312"/>
                <w:color w:val="000000"/>
              </w:rPr>
              <w:t>大模型驱动的无线网络覆盖预测</w:t>
            </w:r>
          </w:p>
        </w:tc>
      </w:tr>
      <w:tr w14:paraId="457CC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7DA1D6C">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4A3FACF">
            <w:pPr>
              <w:adjustRightInd w:val="0"/>
              <w:snapToGrid w:val="0"/>
              <w:ind w:firstLine="504" w:firstLineChars="200"/>
              <w:jc w:val="both"/>
              <w:rPr>
                <w:rFonts w:ascii="仿宋_GB2312" w:hAnsi="仿宋_GB2312" w:eastAsia="仿宋_GB2312" w:cs="仿宋_GB2312"/>
                <w:color w:val="000000"/>
              </w:rPr>
            </w:pPr>
            <w:r>
              <w:rPr>
                <w:rFonts w:ascii="仿宋_GB2312" w:hAnsi="仿宋_GB2312" w:eastAsia="仿宋_GB2312" w:cs="仿宋_GB2312"/>
                <w:bCs/>
                <w:color w:val="000000"/>
                <w:spacing w:val="6"/>
                <w:szCs w:val="28"/>
              </w:rPr>
              <w:t>新一代信息技术、人工智能、通信工程</w:t>
            </w:r>
          </w:p>
        </w:tc>
      </w:tr>
      <w:tr w14:paraId="36EDB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C8257F9">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19BC8E9">
            <w:pPr>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无线网络覆盖能力是支撑社会数字化转型的重要底座，也是实现万物互联、智慧调度与全场景服务的关键保障。然而，在超大型城市中，建筑密集、空间形态异构，叠加电磁环境快速波动与多源干扰，使信号传播呈现强非线性与不确定性。传统经验模型或单一确定性计算方法难以在可控算力成本下同时兼顾高精度与高效率，已成为制约新一代无线网络规划、精准部署与动态优化的重要瓶颈。</w:t>
            </w:r>
          </w:p>
          <w:p w14:paraId="0D95A22B">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rPr>
              <w:t>针对上述痛点，本题目要求揭榜团队融合人工智能、数字孪生等技术，开展新一代无线网络覆盖预测研究。参赛者需挖掘物理环境特征与电磁传播规律的内在关联，构建</w:t>
            </w:r>
            <w:r>
              <w:rPr>
                <w:rFonts w:hint="eastAsia" w:ascii="仿宋_GB2312" w:hAnsi="仿宋_GB2312" w:eastAsia="仿宋_GB2312" w:cs="仿宋_GB2312"/>
                <w:bCs/>
                <w:color w:val="000000"/>
                <w:spacing w:val="6"/>
                <w:szCs w:val="28"/>
              </w:rPr>
              <w:t>大模型</w:t>
            </w:r>
            <w:r>
              <w:rPr>
                <w:rFonts w:ascii="仿宋_GB2312" w:hAnsi="仿宋_GB2312" w:eastAsia="仿宋_GB2312" w:cs="仿宋_GB2312"/>
                <w:bCs/>
                <w:color w:val="000000"/>
                <w:spacing w:val="6"/>
                <w:szCs w:val="28"/>
              </w:rPr>
              <w:t>驱动的智能预测模型，实现城市复杂空间内覆盖状态的高精度映射与可实时更新的仿真模拟；在提升绝对精度的同时，强化跨区域、跨场景的泛化与鲁棒性，为网络建设决策、动态规划与持续优化提供可靠技术支撑与数据指引。</w:t>
            </w:r>
          </w:p>
        </w:tc>
      </w:tr>
      <w:tr w14:paraId="5CFCD6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575230">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7F00F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对学生答题和提交的作品方案提出相关具体要求，明确评选标准，</w:t>
            </w:r>
            <w:r>
              <w:rPr>
                <w:rFonts w:hint="eastAsia" w:ascii="仿宋_GB2312" w:hAnsi="仿宋_GB2312" w:eastAsia="仿宋_GB2312" w:cs="仿宋_GB2312"/>
                <w:bCs/>
                <w:color w:val="000000"/>
                <w:spacing w:val="6"/>
                <w:szCs w:val="28"/>
                <w:lang w:val="en-US"/>
              </w:rPr>
              <w:t>清晰阐明作品提报的形式、时间、要求、优劣标准等，</w:t>
            </w:r>
            <w:r>
              <w:rPr>
                <w:rFonts w:hint="eastAsia" w:ascii="仿宋_GB2312" w:hAnsi="仿宋_GB2312" w:eastAsia="仿宋_GB2312" w:cs="仿宋_GB2312"/>
                <w:bCs/>
                <w:color w:val="000000"/>
                <w:spacing w:val="6"/>
                <w:szCs w:val="28"/>
              </w:rPr>
              <w:t>以便参赛学生</w:t>
            </w:r>
            <w:r>
              <w:rPr>
                <w:rFonts w:hint="eastAsia" w:ascii="仿宋_GB2312" w:hAnsi="仿宋_GB2312" w:eastAsia="仿宋_GB2312" w:cs="仿宋_GB2312"/>
                <w:bCs/>
                <w:color w:val="000000"/>
                <w:spacing w:val="6"/>
                <w:szCs w:val="28"/>
                <w:lang w:val="en-US"/>
              </w:rPr>
              <w:t>更为</w:t>
            </w:r>
            <w:r>
              <w:rPr>
                <w:rFonts w:hint="eastAsia" w:ascii="仿宋_GB2312" w:hAnsi="仿宋_GB2312" w:eastAsia="仿宋_GB2312" w:cs="仿宋_GB2312"/>
                <w:bCs/>
                <w:color w:val="000000"/>
                <w:spacing w:val="6"/>
                <w:szCs w:val="28"/>
              </w:rPr>
              <w:t>全面准确地了解选题</w:t>
            </w:r>
            <w:r>
              <w:rPr>
                <w:rFonts w:hint="eastAsia" w:ascii="仿宋_GB2312" w:hAnsi="仿宋_GB2312" w:eastAsia="仿宋_GB2312" w:cs="仿宋_GB2312"/>
                <w:bCs/>
                <w:color w:val="000000"/>
                <w:spacing w:val="6"/>
                <w:szCs w:val="28"/>
                <w:lang w:val="en-US"/>
              </w:rPr>
              <w:t>和扎实</w:t>
            </w:r>
            <w:r>
              <w:rPr>
                <w:rFonts w:hint="eastAsia" w:ascii="仿宋_GB2312" w:hAnsi="仿宋_GB2312" w:eastAsia="仿宋_GB2312" w:cs="仿宋_GB2312"/>
                <w:bCs/>
                <w:color w:val="000000"/>
                <w:spacing w:val="6"/>
                <w:szCs w:val="28"/>
              </w:rPr>
              <w:t>备赛。</w:t>
            </w:r>
          </w:p>
          <w:p w14:paraId="3FCE7CD1">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1. 参赛团队需提交完整的作品设计报告，阐述如何将</w:t>
            </w:r>
            <w:r>
              <w:rPr>
                <w:rFonts w:ascii="仿宋_GB2312" w:hAnsi="仿宋_GB2312" w:eastAsia="仿宋_GB2312" w:cs="仿宋_GB2312"/>
                <w:bCs/>
                <w:color w:val="000000"/>
                <w:spacing w:val="6"/>
                <w:szCs w:val="28"/>
                <w:highlight w:val="none"/>
              </w:rPr>
              <w:t>AI</w:t>
            </w:r>
            <w:r>
              <w:rPr>
                <w:rFonts w:hint="eastAsia" w:ascii="仿宋_GB2312" w:hAnsi="仿宋_GB2312" w:eastAsia="仿宋_GB2312" w:cs="仿宋_GB2312"/>
                <w:bCs/>
                <w:color w:val="000000"/>
                <w:spacing w:val="6"/>
                <w:szCs w:val="28"/>
                <w:highlight w:val="none"/>
              </w:rPr>
              <w:t>大模型应用于地理数据中，实现对无线网络覆盖的精准预测。</w:t>
            </w:r>
          </w:p>
          <w:p w14:paraId="17F904AA">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2. 参赛团队需提交无线网络覆盖预测系统使用说明文档，并附带核心源代码</w:t>
            </w:r>
            <w:r>
              <w:rPr>
                <w:rFonts w:hint="eastAsia" w:ascii="仿宋_GB2312" w:hAnsi="仿宋_GB2312" w:eastAsia="仿宋_GB2312" w:cs="仿宋_GB2312"/>
                <w:bCs/>
                <w:color w:val="000000"/>
                <w:spacing w:val="6"/>
                <w:szCs w:val="28"/>
                <w:highlight w:val="none"/>
                <w:lang w:val="en-US" w:eastAsia="zh-CN"/>
              </w:rPr>
              <w:t>和</w:t>
            </w:r>
            <w:r>
              <w:rPr>
                <w:rFonts w:hint="eastAsia" w:ascii="仿宋_GB2312" w:hAnsi="仿宋_GB2312" w:eastAsia="仿宋_GB2312" w:cs="仿宋_GB2312"/>
                <w:bCs/>
                <w:color w:val="000000"/>
                <w:spacing w:val="6"/>
                <w:szCs w:val="28"/>
                <w:highlight w:val="none"/>
              </w:rPr>
              <w:t>软件演示</w:t>
            </w:r>
            <w:r>
              <w:rPr>
                <w:rFonts w:ascii="仿宋_GB2312" w:hAnsi="仿宋_GB2312" w:eastAsia="仿宋_GB2312" w:cs="仿宋_GB2312"/>
                <w:bCs/>
                <w:color w:val="000000"/>
                <w:spacing w:val="6"/>
                <w:szCs w:val="28"/>
                <w:highlight w:val="none"/>
              </w:rPr>
              <w:t>Demo</w:t>
            </w:r>
            <w:r>
              <w:rPr>
                <w:rFonts w:hint="eastAsia" w:ascii="仿宋_GB2312" w:hAnsi="仿宋_GB2312" w:eastAsia="仿宋_GB2312" w:cs="仿宋_GB2312"/>
                <w:bCs/>
                <w:color w:val="000000"/>
                <w:spacing w:val="6"/>
                <w:szCs w:val="28"/>
                <w:highlight w:val="none"/>
              </w:rPr>
              <w:t>。</w:t>
            </w:r>
          </w:p>
          <w:p w14:paraId="6828364E">
            <w:pPr>
              <w:adjustRightInd w:val="0"/>
              <w:snapToGrid w:val="0"/>
              <w:ind w:firstLine="504" w:firstLineChars="200"/>
              <w:rPr>
                <w:rFonts w:ascii="仿宋_GB2312" w:hAnsi="仿宋_GB2312" w:eastAsia="仿宋_GB2312" w:cs="仿宋_GB2312"/>
                <w:bCs/>
                <w:color w:val="000000"/>
                <w:spacing w:val="6"/>
                <w:szCs w:val="28"/>
                <w:highlight w:val="none"/>
              </w:rPr>
            </w:pPr>
            <w:r>
              <w:rPr>
                <w:rFonts w:hint="eastAsia" w:ascii="仿宋_GB2312" w:hAnsi="仿宋_GB2312" w:eastAsia="仿宋_GB2312" w:cs="仿宋_GB2312"/>
                <w:bCs/>
                <w:color w:val="000000"/>
                <w:spacing w:val="6"/>
                <w:szCs w:val="28"/>
                <w:highlight w:val="none"/>
              </w:rPr>
              <w:t xml:space="preserve">3. </w:t>
            </w:r>
            <w:r>
              <w:rPr>
                <w:rFonts w:ascii="仿宋_GB2312" w:hAnsi="仿宋_GB2312" w:eastAsia="仿宋_GB2312" w:cs="仿宋_GB2312"/>
                <w:bCs/>
                <w:color w:val="000000"/>
                <w:spacing w:val="6"/>
                <w:szCs w:val="28"/>
                <w:highlight w:val="none"/>
              </w:rPr>
              <w:t>性能指标要求：在预测精度方面，路径损耗、RSRP等关键指标与实测数据的偏差应小于</w:t>
            </w:r>
            <w:r>
              <w:rPr>
                <w:rFonts w:hint="eastAsia" w:ascii="仿宋_GB2312" w:hAnsi="仿宋_GB2312" w:eastAsia="仿宋_GB2312" w:cs="仿宋_GB2312"/>
                <w:bCs/>
                <w:color w:val="000000"/>
                <w:spacing w:val="6"/>
                <w:szCs w:val="28"/>
                <w:highlight w:val="none"/>
                <w:lang w:val="en-US" w:eastAsia="zh-CN"/>
              </w:rPr>
              <w:t>7</w:t>
            </w:r>
            <w:r>
              <w:rPr>
                <w:rFonts w:hint="eastAsia" w:ascii="仿宋_GB2312" w:hAnsi="仿宋_GB2312" w:eastAsia="仿宋_GB2312" w:cs="仿宋_GB2312"/>
                <w:bCs/>
                <w:color w:val="000000"/>
                <w:spacing w:val="6"/>
                <w:szCs w:val="28"/>
                <w:highlight w:val="none"/>
                <w:lang w:val="en-US"/>
              </w:rPr>
              <w:t xml:space="preserve"> </w:t>
            </w:r>
            <w:r>
              <w:rPr>
                <w:rFonts w:ascii="仿宋_GB2312" w:hAnsi="仿宋_GB2312" w:eastAsia="仿宋_GB2312" w:cs="仿宋_GB2312"/>
                <w:bCs/>
                <w:color w:val="000000"/>
                <w:spacing w:val="6"/>
                <w:szCs w:val="28"/>
                <w:highlight w:val="none"/>
              </w:rPr>
              <w:t>dB；在场景覆盖方面，系统应覆盖不少于3类典型无线传播场景，</w:t>
            </w:r>
            <w:r>
              <w:rPr>
                <w:rFonts w:hint="eastAsia" w:ascii="仿宋_GB2312" w:hAnsi="仿宋_GB2312" w:eastAsia="仿宋_GB2312" w:cs="仿宋_GB2312"/>
                <w:bCs/>
                <w:color w:val="000000"/>
                <w:spacing w:val="6"/>
                <w:szCs w:val="28"/>
                <w:highlight w:val="none"/>
                <w:lang w:val="en-US" w:eastAsia="zh-CN"/>
              </w:rPr>
              <w:t>例如</w:t>
            </w:r>
            <w:r>
              <w:rPr>
                <w:rFonts w:ascii="仿宋_GB2312" w:hAnsi="仿宋_GB2312" w:eastAsia="仿宋_GB2312" w:cs="仿宋_GB2312"/>
                <w:bCs/>
                <w:color w:val="000000"/>
                <w:spacing w:val="6"/>
                <w:szCs w:val="28"/>
                <w:highlight w:val="none"/>
              </w:rPr>
              <w:t>城市高楼密集区、郊区与开阔田野</w:t>
            </w:r>
            <w:r>
              <w:rPr>
                <w:rFonts w:hint="eastAsia" w:ascii="仿宋_GB2312" w:hAnsi="仿宋_GB2312" w:eastAsia="仿宋_GB2312" w:cs="仿宋_GB2312"/>
                <w:bCs/>
                <w:color w:val="000000"/>
                <w:spacing w:val="6"/>
                <w:szCs w:val="28"/>
                <w:highlight w:val="none"/>
                <w:lang w:val="en-US" w:eastAsia="zh-CN"/>
              </w:rPr>
              <w:t>等</w:t>
            </w:r>
            <w:r>
              <w:rPr>
                <w:rFonts w:ascii="仿宋_GB2312" w:hAnsi="仿宋_GB2312" w:eastAsia="仿宋_GB2312" w:cs="仿宋_GB2312"/>
                <w:bCs/>
                <w:color w:val="000000"/>
                <w:spacing w:val="6"/>
                <w:szCs w:val="28"/>
                <w:highlight w:val="none"/>
              </w:rPr>
              <w:t>；在计算效率方面，</w:t>
            </w:r>
            <w:r>
              <w:rPr>
                <w:rFonts w:hint="eastAsia" w:ascii="仿宋_GB2312" w:hAnsi="仿宋_GB2312" w:eastAsia="仿宋_GB2312" w:cs="仿宋_GB2312"/>
                <w:bCs/>
                <w:color w:val="000000"/>
                <w:spacing w:val="6"/>
                <w:szCs w:val="28"/>
                <w:highlight w:val="none"/>
                <w:lang w:val="en-US" w:eastAsia="zh-CN"/>
              </w:rPr>
              <w:t>每1</w:t>
            </w:r>
            <w:r>
              <w:rPr>
                <w:rFonts w:ascii="仿宋_GB2312" w:hAnsi="仿宋_GB2312" w:eastAsia="仿宋_GB2312" w:cs="仿宋_GB2312"/>
                <w:bCs/>
                <w:color w:val="000000"/>
                <w:spacing w:val="6"/>
                <w:szCs w:val="28"/>
                <w:highlight w:val="none"/>
              </w:rPr>
              <w:t>平方公里</w:t>
            </w:r>
            <w:r>
              <w:rPr>
                <w:rFonts w:hint="eastAsia" w:ascii="仿宋_GB2312" w:hAnsi="仿宋_GB2312" w:eastAsia="仿宋_GB2312" w:cs="仿宋_GB2312"/>
                <w:bCs/>
                <w:color w:val="000000"/>
                <w:spacing w:val="6"/>
                <w:szCs w:val="28"/>
                <w:highlight w:val="none"/>
                <w:lang w:eastAsia="zh-CN"/>
              </w:rPr>
              <w:t>（</w:t>
            </w:r>
            <w:r>
              <w:rPr>
                <w:rFonts w:hint="eastAsia" w:ascii="仿宋_GB2312" w:hAnsi="仿宋_GB2312" w:eastAsia="仿宋_GB2312" w:cs="仿宋_GB2312"/>
                <w:bCs/>
                <w:color w:val="000000"/>
                <w:spacing w:val="6"/>
                <w:szCs w:val="28"/>
                <w:highlight w:val="none"/>
                <w:lang w:val="en-US" w:eastAsia="zh-CN"/>
              </w:rPr>
              <w:t>区域内至少含20个发射点位</w:t>
            </w:r>
            <w:r>
              <w:rPr>
                <w:rFonts w:hint="eastAsia" w:ascii="仿宋_GB2312" w:hAnsi="仿宋_GB2312" w:eastAsia="仿宋_GB2312" w:cs="仿宋_GB2312"/>
                <w:bCs/>
                <w:color w:val="000000"/>
                <w:spacing w:val="6"/>
                <w:szCs w:val="28"/>
                <w:highlight w:val="none"/>
                <w:lang w:eastAsia="zh-CN"/>
              </w:rPr>
              <w:t>）</w:t>
            </w:r>
            <w:r>
              <w:rPr>
                <w:rFonts w:ascii="仿宋_GB2312" w:hAnsi="仿宋_GB2312" w:eastAsia="仿宋_GB2312" w:cs="仿宋_GB2312"/>
                <w:bCs/>
                <w:color w:val="000000"/>
                <w:spacing w:val="6"/>
                <w:szCs w:val="28"/>
                <w:highlight w:val="none"/>
              </w:rPr>
              <w:t>复杂城区场景，计算时间应控制在</w:t>
            </w:r>
            <w:r>
              <w:rPr>
                <w:rFonts w:hint="eastAsia" w:ascii="仿宋_GB2312" w:hAnsi="仿宋_GB2312" w:eastAsia="仿宋_GB2312" w:cs="仿宋_GB2312"/>
                <w:bCs/>
                <w:color w:val="000000"/>
                <w:spacing w:val="6"/>
                <w:szCs w:val="28"/>
                <w:highlight w:val="none"/>
                <w:lang w:val="en-US" w:eastAsia="zh-CN"/>
              </w:rPr>
              <w:t>30分钟</w:t>
            </w:r>
            <w:r>
              <w:rPr>
                <w:rFonts w:ascii="仿宋_GB2312" w:hAnsi="仿宋_GB2312" w:eastAsia="仿宋_GB2312" w:cs="仿宋_GB2312"/>
                <w:bCs/>
                <w:color w:val="000000"/>
                <w:spacing w:val="6"/>
                <w:szCs w:val="28"/>
                <w:highlight w:val="none"/>
              </w:rPr>
              <w:t>以内。</w:t>
            </w:r>
          </w:p>
          <w:p w14:paraId="2C6D142C">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4. 参赛作品必须保证原创性，</w:t>
            </w:r>
            <w:r>
              <w:rPr>
                <w:rFonts w:ascii="仿宋_GB2312" w:hAnsi="仿宋_GB2312" w:eastAsia="仿宋_GB2312" w:cs="仿宋_GB2312"/>
                <w:bCs/>
                <w:color w:val="000000"/>
                <w:spacing w:val="6"/>
                <w:szCs w:val="28"/>
              </w:rPr>
              <w:t>杜绝一切抄袭或剽窃他人成果的作品参赛，</w:t>
            </w:r>
            <w:r>
              <w:rPr>
                <w:rFonts w:hint="eastAsia" w:ascii="仿宋_GB2312" w:hAnsi="仿宋_GB2312" w:eastAsia="仿宋_GB2312" w:cs="仿宋_GB2312"/>
                <w:bCs/>
                <w:color w:val="000000"/>
                <w:spacing w:val="6"/>
                <w:szCs w:val="28"/>
              </w:rPr>
              <w:t>且未在其他全国性竞赛中获得国家级奖项。</w:t>
            </w:r>
          </w:p>
          <w:p w14:paraId="705C1DB8">
            <w:pPr>
              <w:adjustRightInd w:val="0"/>
              <w:snapToGrid w:val="0"/>
              <w:ind w:firstLine="504" w:firstLineChars="200"/>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5. 参赛团队需在规定时间内通过</w:t>
            </w:r>
            <w:r>
              <w:rPr>
                <w:rFonts w:hint="eastAsia" w:ascii="仿宋_GB2312" w:hAnsi="仿宋_GB2312" w:eastAsia="仿宋_GB2312" w:cs="仿宋_GB2312"/>
                <w:bCs/>
                <w:color w:val="000000"/>
                <w:spacing w:val="6"/>
                <w:szCs w:val="28"/>
                <w:lang w:val="en-US"/>
              </w:rPr>
              <w:t>指定渠道提交</w:t>
            </w:r>
            <w:r>
              <w:rPr>
                <w:rFonts w:hint="eastAsia" w:ascii="仿宋_GB2312" w:hAnsi="仿宋_GB2312" w:eastAsia="仿宋_GB2312" w:cs="仿宋_GB2312"/>
                <w:bCs/>
                <w:color w:val="000000"/>
                <w:spacing w:val="6"/>
                <w:szCs w:val="28"/>
              </w:rPr>
              <w:t>作品</w:t>
            </w:r>
            <w:r>
              <w:rPr>
                <w:rFonts w:hint="eastAsia" w:ascii="仿宋_GB2312" w:hAnsi="仿宋_GB2312" w:eastAsia="仿宋_GB2312" w:cs="仿宋_GB2312"/>
                <w:bCs/>
                <w:color w:val="000000"/>
                <w:spacing w:val="6"/>
                <w:szCs w:val="28"/>
                <w:highlight w:val="none"/>
              </w:rPr>
              <w:t>。</w:t>
            </w:r>
          </w:p>
        </w:tc>
      </w:tr>
      <w:tr w14:paraId="7EC08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A92D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122F699E">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F345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要清晰写明作品评审标准，让参赛选手明确从哪些维度来考察作品，一般应有量化指标和详细说明。</w:t>
            </w:r>
          </w:p>
          <w:p w14:paraId="128B2DE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 作品完整性（60分）</w:t>
            </w:r>
          </w:p>
          <w:p w14:paraId="7160B3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（1）作品完成度（40分）：独立研发并完成</w:t>
            </w:r>
            <w:r>
              <w:rPr>
                <w:rFonts w:ascii="仿宋_GB2312" w:hAnsi="仿宋_GB2312" w:eastAsia="仿宋_GB2312" w:cs="仿宋_GB2312"/>
                <w:bCs/>
                <w:color w:val="000000"/>
                <w:spacing w:val="6"/>
                <w:szCs w:val="28"/>
              </w:rPr>
              <w:t>大模型驱动的无线网络覆盖预测</w:t>
            </w:r>
            <w:r>
              <w:rPr>
                <w:rFonts w:hint="eastAsia" w:ascii="仿宋_GB2312" w:hAnsi="仿宋_GB2312" w:eastAsia="仿宋_GB2312" w:cs="仿宋_GB2312"/>
                <w:bCs/>
                <w:color w:val="000000"/>
                <w:spacing w:val="6"/>
                <w:szCs w:val="28"/>
              </w:rPr>
              <w:t>系统，功能完整，便于操作。如未完成系统集成或仅有理论方案，按照功能实现比例给予评定，最高不超过</w:t>
            </w:r>
            <w:r>
              <w:rPr>
                <w:rFonts w:ascii="仿宋_GB2312" w:hAnsi="仿宋_GB2312" w:eastAsia="仿宋_GB2312" w:cs="仿宋_GB2312"/>
                <w:bCs/>
                <w:color w:val="000000"/>
                <w:spacing w:val="6"/>
                <w:szCs w:val="28"/>
              </w:rPr>
              <w:t>20</w:t>
            </w:r>
            <w:r>
              <w:rPr>
                <w:rFonts w:hint="eastAsia" w:ascii="仿宋_GB2312" w:hAnsi="仿宋_GB2312" w:eastAsia="仿宋_GB2312" w:cs="仿宋_GB2312"/>
                <w:bCs/>
                <w:color w:val="000000"/>
                <w:spacing w:val="6"/>
                <w:szCs w:val="28"/>
              </w:rPr>
              <w:t>分。</w:t>
            </w:r>
          </w:p>
          <w:p w14:paraId="23A4943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（2）系统性能（20分）：根据系统的预测精度、仿真推理效率等指标进行评分，综合评定</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lang w:val="en-US"/>
              </w:rPr>
              <w:t>2</w:t>
            </w:r>
            <w:r>
              <w:rPr>
                <w:rFonts w:ascii="仿宋_GB2312" w:hAnsi="仿宋_GB2312" w:eastAsia="仿宋_GB2312" w:cs="仿宋_GB2312"/>
                <w:bCs/>
                <w:color w:val="000000"/>
                <w:spacing w:val="6"/>
                <w:szCs w:val="28"/>
              </w:rPr>
              <w:t>0</w:t>
            </w:r>
            <w:r>
              <w:rPr>
                <w:rFonts w:hint="eastAsia" w:ascii="仿宋_GB2312" w:hAnsi="仿宋_GB2312" w:eastAsia="仿宋_GB2312" w:cs="仿宋_GB2312"/>
                <w:bCs/>
                <w:color w:val="000000"/>
                <w:spacing w:val="6"/>
                <w:szCs w:val="28"/>
              </w:rPr>
              <w:t>分。</w:t>
            </w:r>
          </w:p>
          <w:p w14:paraId="29BD304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 技术价值（30分）</w:t>
            </w:r>
          </w:p>
          <w:p w14:paraId="45A81C1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（1）技术创新点（20分）：</w:t>
            </w:r>
            <w:r>
              <w:rPr>
                <w:rFonts w:ascii="仿宋_GB2312" w:hAnsi="仿宋_GB2312" w:eastAsia="仿宋_GB2312" w:cs="仿宋_GB2312"/>
                <w:bCs/>
                <w:color w:val="000000"/>
                <w:spacing w:val="6"/>
                <w:szCs w:val="28"/>
              </w:rPr>
              <w:t>考量作品在系统设计、数据处理、策略开发、大模型技术应用等方面的创新点，</w:t>
            </w:r>
            <w:r>
              <w:rPr>
                <w:rFonts w:hint="eastAsia" w:ascii="仿宋_GB2312" w:hAnsi="仿宋_GB2312" w:eastAsia="仿宋_GB2312" w:cs="仿宋_GB2312"/>
                <w:bCs/>
                <w:color w:val="000000"/>
                <w:spacing w:val="6"/>
                <w:szCs w:val="28"/>
              </w:rPr>
              <w:t>综合评定</w:t>
            </w:r>
            <w:r>
              <w:rPr>
                <w:rFonts w:ascii="仿宋_GB2312" w:hAnsi="仿宋_GB2312" w:eastAsia="仿宋_GB2312" w:cs="仿宋_GB2312"/>
                <w:bCs/>
                <w:color w:val="000000"/>
                <w:spacing w:val="6"/>
                <w:szCs w:val="28"/>
              </w:rPr>
              <w:t>0-20</w:t>
            </w:r>
            <w:r>
              <w:rPr>
                <w:rFonts w:hint="eastAsia" w:ascii="仿宋_GB2312" w:hAnsi="仿宋_GB2312" w:eastAsia="仿宋_GB2312" w:cs="仿宋_GB2312"/>
                <w:bCs/>
                <w:color w:val="000000"/>
                <w:spacing w:val="6"/>
                <w:szCs w:val="28"/>
              </w:rPr>
              <w:t>分。</w:t>
            </w:r>
          </w:p>
          <w:p w14:paraId="3B9D875D">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（2）实用性和应用前景（10分）：</w:t>
            </w:r>
            <w:r>
              <w:rPr>
                <w:rFonts w:ascii="仿宋_GB2312" w:hAnsi="仿宋_GB2312" w:eastAsia="仿宋_GB2312" w:cs="仿宋_GB2312"/>
                <w:bCs/>
                <w:color w:val="000000"/>
                <w:spacing w:val="6"/>
                <w:szCs w:val="28"/>
              </w:rPr>
              <w:t>根据系统在实际场景中的应用价值</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系统部署和维护的成本效益比进行打分，</w:t>
            </w:r>
            <w:r>
              <w:rPr>
                <w:rFonts w:hint="eastAsia" w:ascii="仿宋_GB2312" w:hAnsi="仿宋_GB2312" w:eastAsia="仿宋_GB2312" w:cs="仿宋_GB2312"/>
                <w:bCs/>
                <w:color w:val="000000"/>
                <w:spacing w:val="6"/>
                <w:szCs w:val="28"/>
              </w:rPr>
              <w:t>综合评定</w:t>
            </w:r>
            <w:r>
              <w:rPr>
                <w:rFonts w:ascii="仿宋_GB2312" w:hAnsi="仿宋_GB2312" w:eastAsia="仿宋_GB2312" w:cs="仿宋_GB2312"/>
                <w:bCs/>
                <w:color w:val="000000"/>
                <w:spacing w:val="6"/>
                <w:szCs w:val="28"/>
              </w:rPr>
              <w:t>0-10</w:t>
            </w:r>
            <w:r>
              <w:rPr>
                <w:rFonts w:hint="eastAsia" w:ascii="仿宋_GB2312" w:hAnsi="仿宋_GB2312" w:eastAsia="仿宋_GB2312" w:cs="仿宋_GB2312"/>
                <w:bCs/>
                <w:color w:val="000000"/>
                <w:spacing w:val="6"/>
                <w:szCs w:val="28"/>
              </w:rPr>
              <w:t>分。</w:t>
            </w:r>
          </w:p>
          <w:p w14:paraId="042697C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3. 提交材料（10分）</w:t>
            </w:r>
          </w:p>
          <w:p w14:paraId="668C801C">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（1）文档材料（5分）：根据作品设计报告</w:t>
            </w:r>
            <w:r>
              <w:rPr>
                <w:rFonts w:ascii="仿宋_GB2312" w:hAnsi="仿宋_GB2312" w:eastAsia="仿宋_GB2312" w:cs="仿宋_GB2312"/>
                <w:bCs/>
                <w:color w:val="000000"/>
                <w:spacing w:val="6"/>
                <w:szCs w:val="28"/>
              </w:rPr>
              <w:t>等文档材料是否内容齐全、页面整洁、图标清晰、措辞准确</w:t>
            </w:r>
            <w:r>
              <w:rPr>
                <w:rFonts w:hint="eastAsia" w:ascii="仿宋_GB2312" w:hAnsi="仿宋_GB2312" w:eastAsia="仿宋_GB2312" w:cs="仿宋_GB2312"/>
                <w:bCs/>
                <w:color w:val="000000"/>
                <w:spacing w:val="6"/>
                <w:szCs w:val="28"/>
              </w:rPr>
              <w:t>，综合评定0-5分</w:t>
            </w:r>
            <w:r>
              <w:rPr>
                <w:rFonts w:ascii="仿宋_GB2312" w:hAnsi="仿宋_GB2312" w:eastAsia="仿宋_GB2312" w:cs="仿宋_GB2312"/>
                <w:bCs/>
                <w:color w:val="000000"/>
                <w:spacing w:val="6"/>
                <w:szCs w:val="28"/>
              </w:rPr>
              <w:t>。</w:t>
            </w:r>
          </w:p>
          <w:p w14:paraId="0D95572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（2）用户体验（5分）：评估</w:t>
            </w:r>
            <w:r>
              <w:rPr>
                <w:rFonts w:ascii="仿宋_GB2312" w:hAnsi="仿宋_GB2312" w:eastAsia="仿宋_GB2312" w:cs="仿宋_GB2312"/>
                <w:bCs/>
                <w:color w:val="000000"/>
                <w:spacing w:val="6"/>
                <w:szCs w:val="28"/>
              </w:rPr>
              <w:t>用户是否能清晰迅速地掌握完整技术方案的流程，</w:t>
            </w:r>
            <w:r>
              <w:rPr>
                <w:rFonts w:hint="eastAsia" w:ascii="仿宋_GB2312" w:hAnsi="仿宋_GB2312" w:eastAsia="仿宋_GB2312" w:cs="仿宋_GB2312"/>
                <w:bCs/>
                <w:color w:val="000000"/>
                <w:spacing w:val="6"/>
                <w:szCs w:val="28"/>
              </w:rPr>
              <w:t>是否能</w:t>
            </w:r>
            <w:r>
              <w:rPr>
                <w:rFonts w:ascii="仿宋_GB2312" w:hAnsi="仿宋_GB2312" w:eastAsia="仿宋_GB2312" w:cs="仿宋_GB2312"/>
                <w:bCs/>
                <w:color w:val="000000"/>
                <w:spacing w:val="6"/>
                <w:szCs w:val="28"/>
              </w:rPr>
              <w:t>根据自身需求和说明文档独立</w:t>
            </w:r>
            <w:r>
              <w:rPr>
                <w:rFonts w:hint="eastAsia" w:ascii="仿宋_GB2312" w:hAnsi="仿宋_GB2312" w:eastAsia="仿宋_GB2312" w:cs="仿宋_GB2312"/>
                <w:bCs/>
                <w:color w:val="000000"/>
                <w:spacing w:val="6"/>
                <w:szCs w:val="28"/>
              </w:rPr>
              <w:t>自主使用该系统，综合评定0-5分。</w:t>
            </w:r>
          </w:p>
        </w:tc>
      </w:tr>
      <w:tr w14:paraId="077E0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AB5499D">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E24F92">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关于选题的其他提醒或相关要求说明。</w:t>
            </w:r>
          </w:p>
        </w:tc>
      </w:tr>
    </w:tbl>
    <w:p w14:paraId="74DB1B48">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BA59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642615">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CDA1FC5">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说明</w:t>
            </w:r>
            <w:r>
              <w:rPr>
                <w:rFonts w:hint="eastAsia" w:ascii="仿宋_GB2312" w:hAnsi="仿宋_GB2312" w:eastAsia="仿宋_GB2312" w:cs="仿宋_GB2312"/>
                <w:bCs/>
                <w:color w:val="000000"/>
                <w:spacing w:val="6"/>
                <w:szCs w:val="28"/>
              </w:rPr>
              <w:t>单位为参赛团队可提供</w:t>
            </w:r>
            <w:r>
              <w:rPr>
                <w:rFonts w:hint="eastAsia" w:ascii="仿宋_GB2312" w:hAnsi="仿宋_GB2312" w:eastAsia="仿宋_GB2312" w:cs="仿宋_GB2312"/>
                <w:bCs/>
                <w:color w:val="000000"/>
                <w:spacing w:val="6"/>
                <w:szCs w:val="28"/>
                <w:lang w:val="en-US"/>
              </w:rPr>
              <w:t>的指导帮助</w:t>
            </w:r>
            <w:r>
              <w:rPr>
                <w:rFonts w:hint="eastAsia" w:ascii="仿宋_GB2312" w:hAnsi="仿宋_GB2312" w:eastAsia="仿宋_GB2312" w:cs="仿宋_GB2312"/>
                <w:bCs/>
                <w:color w:val="000000"/>
                <w:spacing w:val="6"/>
                <w:szCs w:val="28"/>
              </w:rPr>
              <w:t>等，比如参观应用场景、</w:t>
            </w:r>
            <w:r>
              <w:rPr>
                <w:rFonts w:hint="eastAsia" w:ascii="仿宋_GB2312" w:hAnsi="仿宋_GB2312" w:eastAsia="仿宋_GB2312" w:cs="仿宋_GB2312"/>
                <w:bCs/>
                <w:color w:val="000000"/>
                <w:spacing w:val="6"/>
                <w:szCs w:val="28"/>
                <w:lang w:val="en-US"/>
              </w:rPr>
              <w:t>实践调研</w:t>
            </w:r>
            <w:r>
              <w:rPr>
                <w:rFonts w:hint="eastAsia"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lang w:val="en-US"/>
              </w:rPr>
              <w:t>提供可供参考的</w:t>
            </w:r>
            <w:r>
              <w:rPr>
                <w:rFonts w:hint="eastAsia" w:ascii="仿宋_GB2312" w:hAnsi="仿宋_GB2312" w:eastAsia="仿宋_GB2312" w:cs="仿宋_GB2312"/>
                <w:bCs/>
                <w:color w:val="000000"/>
                <w:spacing w:val="6"/>
                <w:szCs w:val="28"/>
              </w:rPr>
              <w:t>以往</w:t>
            </w:r>
            <w:r>
              <w:rPr>
                <w:rFonts w:hint="eastAsia" w:ascii="仿宋_GB2312" w:hAnsi="仿宋_GB2312" w:eastAsia="仿宋_GB2312" w:cs="仿宋_GB2312"/>
                <w:bCs/>
                <w:color w:val="000000"/>
                <w:spacing w:val="6"/>
                <w:szCs w:val="28"/>
                <w:lang w:val="en-US"/>
              </w:rPr>
              <w:t>相关研究资料</w:t>
            </w:r>
            <w:r>
              <w:rPr>
                <w:rFonts w:hint="eastAsia" w:ascii="仿宋_GB2312" w:hAnsi="仿宋_GB2312" w:eastAsia="仿宋_GB2312" w:cs="仿宋_GB2312"/>
                <w:bCs/>
                <w:color w:val="000000"/>
                <w:spacing w:val="6"/>
                <w:szCs w:val="28"/>
              </w:rPr>
              <w:t>材料等，配备</w:t>
            </w:r>
            <w:r>
              <w:rPr>
                <w:rFonts w:hint="eastAsia" w:ascii="仿宋_GB2312" w:hAnsi="仿宋_GB2312" w:eastAsia="仿宋_GB2312" w:cs="仿宋_GB2312"/>
                <w:bCs/>
                <w:color w:val="000000"/>
                <w:spacing w:val="6"/>
                <w:szCs w:val="28"/>
                <w:lang w:val="en-US"/>
              </w:rPr>
              <w:t>专门</w:t>
            </w:r>
            <w:r>
              <w:rPr>
                <w:rFonts w:hint="eastAsia" w:ascii="仿宋_GB2312" w:hAnsi="仿宋_GB2312" w:eastAsia="仿宋_GB2312" w:cs="仿宋_GB2312"/>
                <w:bCs/>
                <w:color w:val="000000"/>
                <w:spacing w:val="6"/>
                <w:szCs w:val="28"/>
              </w:rPr>
              <w:t>指导人员、</w:t>
            </w:r>
            <w:r>
              <w:rPr>
                <w:rFonts w:hint="eastAsia" w:ascii="仿宋_GB2312" w:hAnsi="仿宋_GB2312" w:eastAsia="仿宋_GB2312" w:cs="仿宋_GB2312"/>
                <w:bCs/>
                <w:color w:val="000000"/>
                <w:spacing w:val="6"/>
                <w:szCs w:val="28"/>
                <w:lang w:val="en-US"/>
              </w:rPr>
              <w:t>推动产教融合</w:t>
            </w:r>
            <w:r>
              <w:rPr>
                <w:rFonts w:hint="eastAsia" w:ascii="仿宋_GB2312" w:hAnsi="仿宋_GB2312" w:eastAsia="仿宋_GB2312" w:cs="仿宋_GB2312"/>
                <w:bCs/>
                <w:color w:val="000000"/>
                <w:spacing w:val="6"/>
                <w:szCs w:val="28"/>
              </w:rPr>
              <w:t>等，</w:t>
            </w:r>
            <w:r>
              <w:rPr>
                <w:rFonts w:hint="eastAsia" w:ascii="仿宋_GB2312" w:hAnsi="仿宋_GB2312" w:eastAsia="仿宋_GB2312" w:cs="仿宋_GB2312"/>
                <w:bCs/>
                <w:color w:val="000000"/>
                <w:spacing w:val="6"/>
                <w:szCs w:val="28"/>
                <w:lang w:val="en-US"/>
              </w:rPr>
              <w:t>写明落实时间和</w:t>
            </w:r>
            <w:r>
              <w:rPr>
                <w:rFonts w:hint="eastAsia" w:ascii="仿宋_GB2312" w:hAnsi="仿宋_GB2312" w:eastAsia="仿宋_GB2312" w:cs="仿宋_GB2312"/>
                <w:bCs/>
                <w:color w:val="000000"/>
                <w:spacing w:val="6"/>
                <w:szCs w:val="28"/>
              </w:rPr>
              <w:t>落实</w:t>
            </w:r>
            <w:r>
              <w:rPr>
                <w:rFonts w:hint="eastAsia" w:ascii="仿宋_GB2312" w:hAnsi="仿宋_GB2312" w:eastAsia="仿宋_GB2312" w:cs="仿宋_GB2312"/>
                <w:bCs/>
                <w:color w:val="000000"/>
                <w:spacing w:val="6"/>
                <w:szCs w:val="28"/>
                <w:lang w:val="en-US"/>
              </w:rPr>
              <w:t>保障措施。</w:t>
            </w:r>
          </w:p>
          <w:p w14:paraId="1E8480E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对于参加本项目的参赛团队，本单位可以根据团队的实际需求，在</w:t>
            </w:r>
            <w:r>
              <w:rPr>
                <w:rFonts w:hint="eastAsia" w:ascii="仿宋_GB2312" w:hAnsi="仿宋_GB2312" w:eastAsia="仿宋_GB2312" w:cs="仿宋_GB2312"/>
                <w:bCs/>
                <w:color w:val="000000"/>
                <w:spacing w:val="6"/>
                <w:szCs w:val="28"/>
                <w:lang w:val="en-US"/>
              </w:rPr>
              <w:t>技术</w:t>
            </w:r>
            <w:r>
              <w:rPr>
                <w:rFonts w:ascii="仿宋_GB2312" w:hAnsi="仿宋_GB2312" w:eastAsia="仿宋_GB2312" w:cs="仿宋_GB2312"/>
                <w:bCs/>
                <w:color w:val="000000"/>
                <w:spacing w:val="6"/>
                <w:szCs w:val="28"/>
                <w:lang w:val="en-US"/>
              </w:rPr>
              <w:t>交流、专业指导以及其他项目必须条件等方面提供帮助。</w:t>
            </w:r>
          </w:p>
          <w:p w14:paraId="0FE93E4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本单位在参赛团队完成相关审核等程序后可提供以学校为单位的参观应用现场的机会。</w:t>
            </w:r>
          </w:p>
          <w:p w14:paraId="4EE0947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单位将为此次赛事组建专家指导团队，指导团队将由本单位专家组成，同时团队还将为参赛团队指定辅导老师，介绍选题技术背景、技术细节，针对开发过程的疑问定期进行解答。辅导老师由本单位专业技术人员组成，在参赛团队</w:t>
            </w:r>
          </w:p>
          <w:p w14:paraId="09E7114D">
            <w:pPr>
              <w:adjustRightInd w:val="0"/>
              <w:snapToGrid w:val="0"/>
              <w:jc w:val="both"/>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完成报名后予以明确。</w:t>
            </w:r>
          </w:p>
        </w:tc>
      </w:tr>
      <w:tr w14:paraId="20B00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595"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E15203">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F4008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65597D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根据实际情况评出相应的特等奖、一等奖、二等奖、三等奖若干</w:t>
            </w:r>
          </w:p>
          <w:p w14:paraId="0496E11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67227C3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研究成果如具有在本单位实践应用的价值，则获奖团队成员在中讯邮电咨询设计院有限公司实习生招聘时，同等条件下可优先录用。“擂主”团队可直接获得实习机会，并配备资深员工作为职业导师。</w:t>
            </w:r>
          </w:p>
          <w:p w14:paraId="0DB860D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2.获奖团队纳入公司人才库，“擂主”团队在校园招聘中可直接获得“面试直通卡”优先录用。“擂主”团队成员，若成功入职，在首次定岗、导师配备、培养计划等方面可获得一定程度的倾斜。</w:t>
            </w:r>
          </w:p>
          <w:p w14:paraId="3A141069">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3.对于具有实践应用价值的研究成果，公司将组织专家进行 “成果转化可行性评估”。评估通过后，将优秀成果向公司内部业务部门或战略合作伙伴进行专项推介，搭建对接桥梁。</w:t>
            </w:r>
          </w:p>
        </w:tc>
      </w:tr>
    </w:tbl>
    <w:p w14:paraId="214C2041">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1BC3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6247"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2EFD560F">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DBA78">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说明题目对攻关某项“卡脖子”关键核心技术、对解决某项科技发展前沿的技术难题、对突破某项制约产业发展的技术瓶颈，或对解决当前社会科学领域中相关重大课题和现实问题等具有何种意义或推动价值。</w:t>
            </w:r>
          </w:p>
          <w:p w14:paraId="06C3EA87">
            <w:pPr>
              <w:overflowPunct w:val="0"/>
              <w:adjustRightInd w:val="0"/>
              <w:snapToGrid w:val="0"/>
              <w:ind w:firstLine="504" w:firstLineChars="200"/>
              <w:rPr>
                <w:rFonts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本选题面向我国通信行业在无线网络规划、优化与运营环节长期存在的关键痛点，聚焦攻关“高精度无线网络仿真”这一支撑5G-A/6G建设与精细化运营的底层核心能力。当前高精度仿真工具与关键模型能力仍存在受制于外的风险，同时传统仿真方法普遍面临“精度与效率难以兼顾、数据与模型割裂、工程落地成本高”的现实瓶颈，难以满足复杂城市场景、交通干线、室内外融合等新型网络建设对快速评估、精准推演与闭环优化的迫切需求。因此，研发</w:t>
            </w:r>
            <w:r>
              <w:rPr>
                <w:rFonts w:ascii="仿宋_GB2312" w:hAnsi="仿宋_GB2312" w:eastAsia="仿宋_GB2312" w:cs="仿宋_GB2312"/>
                <w:color w:val="000000"/>
              </w:rPr>
              <w:t>大模型驱动的无线网络覆盖预测</w:t>
            </w:r>
            <w:r>
              <w:rPr>
                <w:rFonts w:hint="eastAsia" w:ascii="仿宋_GB2312" w:hAnsi="仿宋_GB2312" w:eastAsia="仿宋_GB2312" w:cs="仿宋_GB2312"/>
                <w:color w:val="000000"/>
              </w:rPr>
              <w:t>系统</w:t>
            </w:r>
            <w:r>
              <w:rPr>
                <w:rFonts w:ascii="仿宋_GB2312" w:hAnsi="仿宋_GB2312" w:eastAsia="仿宋_GB2312" w:cs="仿宋_GB2312"/>
                <w:bCs/>
                <w:color w:val="000000"/>
                <w:spacing w:val="6"/>
                <w:szCs w:val="28"/>
                <w:lang w:val="en-US"/>
              </w:rPr>
              <w:t>，具有显著的“卡脖子”技术攻关意义</w:t>
            </w:r>
            <w:r>
              <w:rPr>
                <w:rFonts w:hint="eastAsia" w:ascii="仿宋_GB2312" w:hAnsi="仿宋_GB2312" w:eastAsia="仿宋_GB2312" w:cs="仿宋_GB2312"/>
                <w:bCs/>
                <w:color w:val="000000"/>
                <w:spacing w:val="6"/>
                <w:szCs w:val="28"/>
                <w:lang w:val="en-US"/>
              </w:rPr>
              <w:t>，</w:t>
            </w:r>
            <w:r>
              <w:rPr>
                <w:rFonts w:ascii="仿宋_GB2312" w:hAnsi="仿宋_GB2312" w:eastAsia="仿宋_GB2312" w:cs="仿宋_GB2312"/>
                <w:bCs/>
                <w:color w:val="000000"/>
                <w:spacing w:val="6"/>
                <w:szCs w:val="28"/>
                <w:lang w:val="en-US"/>
              </w:rPr>
              <w:t>有助于提升我国在网络规建维优核心工具链上的独立可控与持续演进能力，为5G-A/6G网络建设提供关键工具支撑。本选题探索</w:t>
            </w:r>
            <w:r>
              <w:rPr>
                <w:rFonts w:hint="eastAsia" w:ascii="仿宋_GB2312" w:hAnsi="仿宋_GB2312" w:eastAsia="仿宋_GB2312" w:cs="仿宋_GB2312"/>
                <w:bCs/>
                <w:color w:val="000000"/>
                <w:spacing w:val="6"/>
                <w:szCs w:val="28"/>
                <w:lang w:val="en-US"/>
              </w:rPr>
              <w:t>基于大模型驱动的无线网络覆盖预测模型，相比传统射线跟踪方法能显著提升计算效率，相比经验公式则能显著提升预测精度，</w:t>
            </w:r>
            <w:r>
              <w:rPr>
                <w:rFonts w:ascii="仿宋_GB2312" w:hAnsi="仿宋_GB2312" w:eastAsia="仿宋_GB2312" w:cs="仿宋_GB2312"/>
                <w:bCs/>
                <w:color w:val="000000"/>
                <w:spacing w:val="6"/>
                <w:szCs w:val="28"/>
                <w:lang w:val="en-US"/>
              </w:rPr>
              <w:t>推动无线智能建模走向高</w:t>
            </w:r>
            <w:r>
              <w:rPr>
                <w:rFonts w:hint="eastAsia" w:ascii="仿宋_GB2312" w:hAnsi="仿宋_GB2312" w:eastAsia="仿宋_GB2312" w:cs="仿宋_GB2312"/>
                <w:bCs/>
                <w:color w:val="000000"/>
                <w:spacing w:val="6"/>
                <w:szCs w:val="28"/>
                <w:lang w:val="en-US"/>
              </w:rPr>
              <w:t>精度</w:t>
            </w:r>
            <w:r>
              <w:rPr>
                <w:rFonts w:ascii="仿宋_GB2312" w:hAnsi="仿宋_GB2312" w:eastAsia="仿宋_GB2312" w:cs="仿宋_GB2312"/>
                <w:bCs/>
                <w:color w:val="000000"/>
                <w:spacing w:val="6"/>
                <w:szCs w:val="28"/>
                <w:lang w:val="en-US"/>
              </w:rPr>
              <w:t>、可工程化的新阶段。为复杂场景下的网络规划、建设评估与运营优化提供长期、稳定、可复制的技术支撑。</w:t>
            </w:r>
          </w:p>
        </w:tc>
      </w:tr>
      <w:tr w14:paraId="75E449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D17AB5">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64D207">
            <w:pPr>
              <w:overflowPunct w:val="0"/>
              <w:adjustRightInd w:val="0"/>
              <w:snapToGrid w:val="0"/>
              <w:ind w:firstLine="504" w:firstLineChars="200"/>
              <w:jc w:val="both"/>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本选题成果在运营商网络规、建、维、优全流程落地后，将形成显著的降本增效与投资效率提升。</w:t>
            </w:r>
            <w:r>
              <w:rPr>
                <w:rFonts w:hint="eastAsia" w:ascii="仿宋_GB2312" w:hAnsi="仿宋_GB2312" w:eastAsia="仿宋_GB2312" w:cs="仿宋_GB2312"/>
                <w:bCs/>
                <w:color w:val="000000"/>
                <w:spacing w:val="6"/>
                <w:szCs w:val="28"/>
              </w:rPr>
              <w:t>在网络规划阶段，基于高精度、高效仿真能力可实现站址布局的精准规划，在相同覆盖质量要求下，可减少一定比例的基站建设需求，规模化后可为运营商节省巨额基础设施投资；</w:t>
            </w:r>
            <w:r>
              <w:rPr>
                <w:rFonts w:ascii="仿宋_GB2312" w:hAnsi="仿宋_GB2312" w:eastAsia="仿宋_GB2312" w:cs="仿宋_GB2312"/>
                <w:bCs/>
                <w:color w:val="000000"/>
                <w:spacing w:val="6"/>
                <w:szCs w:val="28"/>
              </w:rPr>
              <w:t>另一方面，成果将直接提升网络投资决策质量与资源配置效率：通过更精准的覆盖与容量推演，可缩短网络优化周期、提升复杂场景覆盖与网络体验一致性，进而提升用户满意度与业务承载能力，增强运营商在重点区域、重点场景的精细化运营能力，促进5G-A/6G新业务与新应用更快落地，形成持续的运营收益与长期竞争优势。从更宏观的社会效益看，本成果有助于提升我国无线网络仿真与智能优化关键工具链的自主供给能力，带动相关数据、算法、平台与工程服务的国产生态发展，为数字经济发展与新型工业化提供基础底座与关键生产力支撑。</w:t>
            </w:r>
          </w:p>
        </w:tc>
      </w:tr>
    </w:tbl>
    <w:p w14:paraId="46B3D662">
      <w:pPr>
        <w:rPr>
          <w:rFonts w:hint="eastAsia" w:ascii="仿宋_GB2312" w:eastAsia="仿宋_GB2312"/>
          <w:bCs/>
          <w:sz w:val="32"/>
          <w:szCs w:val="32"/>
          <w:lang w:val="en-US"/>
        </w:rPr>
      </w:pPr>
      <w:r>
        <w:rPr>
          <w:rFonts w:hint="eastAsia" w:ascii="仿宋_GB2312" w:eastAsia="仿宋_GB2312"/>
          <w:bCs/>
          <w:sz w:val="32"/>
          <w:szCs w:val="32"/>
          <w:lang w:val="en-US"/>
        </w:rPr>
        <w:br w:type="page"/>
      </w:r>
    </w:p>
    <w:p w14:paraId="7D7C4F91">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25A9AB77">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—1</w:t>
      </w:r>
      <w:r>
        <w:rPr>
          <w:rFonts w:hint="eastAsia" w:eastAsia="方正小标宋简体" w:cs="方正小标宋简体"/>
          <w:b w:val="0"/>
          <w:bCs/>
          <w:kern w:val="2"/>
          <w:sz w:val="44"/>
          <w:szCs w:val="32"/>
          <w:highlight w:val="none"/>
          <w:lang w:val="en-US" w:eastAsia="zh-CN"/>
        </w:rPr>
        <w:t>7</w:t>
      </w:r>
    </w:p>
    <w:p w14:paraId="3C943755">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AF87796">
      <w:pPr>
        <w:tabs>
          <w:tab w:val="left" w:pos="8640"/>
        </w:tabs>
        <w:adjustRightInd w:val="0"/>
        <w:snapToGrid w:val="0"/>
        <w:spacing w:line="560" w:lineRule="exact"/>
        <w:rPr>
          <w:rFonts w:hint="eastAsia" w:ascii="方正楷体简体" w:hAnsi="方正楷体简体" w:eastAsia="方正楷体简体" w:cs="方正楷体简体"/>
          <w:bCs/>
          <w:spacing w:val="6"/>
          <w:highlight w:val="none"/>
        </w:rPr>
      </w:pPr>
      <w:r>
        <w:rPr>
          <w:rFonts w:hint="eastAsia" w:ascii="方正黑体简体" w:eastAsia="方正黑体简体"/>
          <w:bCs/>
          <w:spacing w:val="6"/>
          <w:sz w:val="32"/>
          <w:szCs w:val="32"/>
          <w:highlight w:val="none"/>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B9B7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D0B1C1A">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单位名称</w:t>
            </w:r>
          </w:p>
        </w:tc>
        <w:tc>
          <w:tcPr>
            <w:tcW w:w="6932" w:type="dxa"/>
            <w:gridSpan w:val="3"/>
            <w:vAlign w:val="center"/>
          </w:tcPr>
          <w:p w14:paraId="1706FE14">
            <w:pPr>
              <w:adjustRightInd w:val="0"/>
              <w:snapToGrid w:val="0"/>
              <w:jc w:val="center"/>
              <w:rPr>
                <w:rFonts w:hint="eastAsia" w:ascii="仿宋_GB2312" w:hAnsi="仿宋_GB2312" w:eastAsia="仿宋_GB2312" w:cs="仿宋_GB2312"/>
                <w:highlight w:val="none"/>
              </w:rPr>
            </w:pPr>
            <w:r>
              <w:rPr>
                <w:rFonts w:ascii="仿宋_GB2312" w:hAnsi="仿宋_GB2312" w:eastAsia="仿宋_GB2312" w:cs="仿宋_GB2312"/>
                <w:bCs/>
                <w:spacing w:val="6"/>
                <w:szCs w:val="28"/>
                <w:highlight w:val="none"/>
                <w:lang w:val="en-US"/>
              </w:rPr>
              <w:t>北京美联同创医学检验实验室有限公司</w:t>
            </w:r>
          </w:p>
        </w:tc>
      </w:tr>
      <w:tr w14:paraId="18B0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692EE8C">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单位类型</w:t>
            </w:r>
          </w:p>
        </w:tc>
        <w:tc>
          <w:tcPr>
            <w:tcW w:w="6932" w:type="dxa"/>
            <w:gridSpan w:val="3"/>
            <w:vAlign w:val="center"/>
          </w:tcPr>
          <w:p w14:paraId="23518145">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私营企业</w:t>
            </w:r>
          </w:p>
        </w:tc>
      </w:tr>
      <w:tr w14:paraId="77AA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3E3B93FB">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地址</w:t>
            </w:r>
          </w:p>
        </w:tc>
        <w:tc>
          <w:tcPr>
            <w:tcW w:w="6932" w:type="dxa"/>
            <w:gridSpan w:val="3"/>
            <w:vAlign w:val="center"/>
          </w:tcPr>
          <w:p w14:paraId="4235871E">
            <w:pPr>
              <w:adjustRightInd w:val="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北京市昌平区城南街道振兴路2号院5号楼1层、2层101</w:t>
            </w:r>
          </w:p>
        </w:tc>
      </w:tr>
      <w:tr w14:paraId="611B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7ED52A87">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lang w:val="en-US"/>
              </w:rPr>
              <w:t>单位</w:t>
            </w:r>
            <w:r>
              <w:rPr>
                <w:rFonts w:hint="eastAsia" w:ascii="楷体_GB2312" w:hAnsi="楷体_GB2312" w:eastAsia="楷体_GB2312" w:cs="楷体_GB2312"/>
                <w:sz w:val="28"/>
                <w:szCs w:val="32"/>
                <w:highlight w:val="none"/>
              </w:rPr>
              <w:t>简介</w:t>
            </w:r>
          </w:p>
        </w:tc>
        <w:tc>
          <w:tcPr>
            <w:tcW w:w="6932" w:type="dxa"/>
            <w:gridSpan w:val="3"/>
            <w:vAlign w:val="center"/>
          </w:tcPr>
          <w:p w14:paraId="1653825B">
            <w:pPr>
              <w:adjustRightInd w:val="0"/>
              <w:snapToGrid w:val="0"/>
              <w:jc w:val="both"/>
              <w:rPr>
                <w:rFonts w:hint="eastAsia" w:ascii="仿宋_GB2312" w:hAnsi="仿宋_GB2312" w:eastAsia="仿宋_GB2312" w:cs="仿宋_GB2312"/>
                <w:bCs/>
                <w:spacing w:val="6"/>
                <w:szCs w:val="28"/>
                <w:highlight w:val="none"/>
              </w:rPr>
            </w:pPr>
            <w:r>
              <w:rPr>
                <w:rFonts w:hint="eastAsia" w:ascii="仿宋_GB2312" w:hAnsi="仿宋_GB2312" w:eastAsia="仿宋_GB2312" w:cs="仿宋_GB2312"/>
                <w:bCs/>
                <w:spacing w:val="6"/>
                <w:szCs w:val="28"/>
                <w:highlight w:val="none"/>
                <w:lang w:val="en-US"/>
              </w:rPr>
              <w:t>北京美联同创医学检验实验室有限公司，中关村高科技企业，成立于2016年，位于北京市昌平区城南街道振兴路2号院5号楼1层、2层，注册资金1000万元。IS015189:ILAC:CNAS认证医学检验国际实验室科研机构与医疗机构，主要从事基因、免疫、细胞技术在疾病诊断、治疗的创新CGT(Cel1GeneTherapy)技术研究、技术开发与科研、临床诊疗服务。</w:t>
            </w:r>
          </w:p>
        </w:tc>
      </w:tr>
      <w:tr w14:paraId="4442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7CCDB1DD">
            <w:pPr>
              <w:adjustRightInd w:val="0"/>
              <w:snapToGrid w:val="0"/>
              <w:ind w:firstLine="280" w:firstLineChars="100"/>
              <w:jc w:val="both"/>
              <w:rPr>
                <w:rFonts w:hint="eastAsia"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076" w:type="dxa"/>
            <w:vAlign w:val="center"/>
          </w:tcPr>
          <w:p w14:paraId="4A987747">
            <w:pPr>
              <w:adjustRightInd w:val="0"/>
              <w:snapToGrid w:val="0"/>
              <w:jc w:val="both"/>
              <w:rPr>
                <w:rFonts w:hint="eastAsia" w:ascii="仿宋_GB2312" w:hAnsi="仿宋_GB2312" w:eastAsia="仿宋_GB2312" w:cs="仿宋_GB2312"/>
                <w:bCs/>
                <w:spacing w:val="6"/>
                <w:szCs w:val="28"/>
                <w:highlight w:val="none"/>
                <w:lang w:val="en-US" w:eastAsia="zh-CN"/>
              </w:rPr>
            </w:pPr>
            <w:r>
              <w:rPr>
                <w:rFonts w:hint="eastAsia" w:ascii="仿宋_GB2312" w:hAnsi="仿宋_GB2312" w:eastAsia="仿宋_GB2312" w:cs="仿宋_GB2312"/>
                <w:bCs/>
                <w:spacing w:val="6"/>
                <w:szCs w:val="28"/>
                <w:highlight w:val="none"/>
                <w:lang w:val="en-US" w:eastAsia="zh-CN"/>
              </w:rPr>
              <w:t>李飞</w:t>
            </w:r>
          </w:p>
        </w:tc>
        <w:tc>
          <w:tcPr>
            <w:tcW w:w="1073" w:type="dxa"/>
            <w:vAlign w:val="center"/>
          </w:tcPr>
          <w:p w14:paraId="34422E2F">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361F22DA">
            <w:pPr>
              <w:adjustRightInd w:val="0"/>
              <w:jc w:val="center"/>
              <w:rPr>
                <w:rFonts w:hint="eastAsia" w:eastAsia="方正仿宋简体"/>
                <w:highlight w:val="none"/>
                <w:lang w:val="en-US" w:eastAsia="zh-CN"/>
              </w:rPr>
            </w:pPr>
            <w:r>
              <w:rPr>
                <w:rFonts w:hint="eastAsia" w:eastAsia="方正仿宋简体"/>
                <w:highlight w:val="none"/>
                <w:lang w:val="en-US" w:eastAsia="zh-CN"/>
              </w:rPr>
              <w:t>总经理</w:t>
            </w:r>
          </w:p>
        </w:tc>
      </w:tr>
      <w:tr w14:paraId="19FC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3712081E">
            <w:pPr>
              <w:adjustRightInd w:val="0"/>
              <w:snapToGrid w:val="0"/>
              <w:jc w:val="center"/>
              <w:rPr>
                <w:rFonts w:hint="eastAsia"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076" w:type="dxa"/>
            <w:vAlign w:val="center"/>
          </w:tcPr>
          <w:p w14:paraId="69396B72">
            <w:pPr>
              <w:adjustRightInd w:val="0"/>
              <w:snapToGrid w:val="0"/>
              <w:jc w:val="both"/>
              <w:rPr>
                <w:rFonts w:hint="eastAsia" w:ascii="仿宋_GB2312" w:hAnsi="仿宋_GB2312" w:eastAsia="仿宋_GB2312" w:cs="仿宋_GB2312"/>
                <w:bCs/>
                <w:spacing w:val="6"/>
                <w:szCs w:val="28"/>
                <w:highlight w:val="none"/>
                <w:lang w:val="en-US"/>
              </w:rPr>
            </w:pPr>
            <w:r>
              <w:rPr>
                <w:rFonts w:hint="eastAsia" w:ascii="仿宋_GB2312" w:hAnsi="仿宋_GB2312" w:eastAsia="仿宋_GB2312" w:cs="仿宋_GB2312"/>
                <w:bCs/>
                <w:spacing w:val="6"/>
                <w:szCs w:val="28"/>
                <w:highlight w:val="none"/>
                <w:lang w:val="en-US"/>
              </w:rPr>
              <w:t>13811437679</w:t>
            </w:r>
          </w:p>
        </w:tc>
        <w:tc>
          <w:tcPr>
            <w:tcW w:w="1073" w:type="dxa"/>
            <w:vAlign w:val="center"/>
          </w:tcPr>
          <w:p w14:paraId="230A14F5">
            <w:pPr>
              <w:adjustRightInd w:val="0"/>
              <w:spacing w:line="560" w:lineRule="exact"/>
              <w:jc w:val="center"/>
              <w:rPr>
                <w:rFonts w:hint="eastAsia"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08C048D2">
            <w:pPr>
              <w:adjustRightInd w:val="0"/>
              <w:jc w:val="center"/>
              <w:rPr>
                <w:rFonts w:eastAsia="方正仿宋简体"/>
                <w:highlight w:val="none"/>
              </w:rPr>
            </w:pPr>
          </w:p>
        </w:tc>
      </w:tr>
    </w:tbl>
    <w:p w14:paraId="58FD3C41">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2F089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1E7D055">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FF6A715">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智能化医疗影像解析系统设计</w:t>
            </w:r>
          </w:p>
        </w:tc>
      </w:tr>
      <w:tr w14:paraId="137F7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F75CC38">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02E9A">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新一代信息技术、人工智能</w:t>
            </w:r>
          </w:p>
        </w:tc>
      </w:tr>
      <w:tr w14:paraId="40198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1C46B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351A7E4">
            <w:pPr>
              <w:ind w:firstLine="480" w:firstLineChars="200"/>
              <w:rPr>
                <w:rFonts w:hint="eastAsia" w:eastAsia="仿宋_GB2312"/>
              </w:rPr>
            </w:pPr>
            <w:r>
              <w:rPr>
                <w:rFonts w:hint="eastAsia" w:eastAsia="仿宋_GB2312"/>
              </w:rPr>
              <w:t>1. 背景：</w:t>
            </w:r>
          </w:p>
          <w:p w14:paraId="0EA29E70">
            <w:pPr>
              <w:ind w:firstLine="480" w:firstLineChars="200"/>
              <w:rPr>
                <w:rFonts w:hint="eastAsia" w:eastAsia="仿宋_GB2312"/>
              </w:rPr>
            </w:pPr>
            <w:r>
              <w:rPr>
                <w:rFonts w:hint="eastAsia" w:eastAsia="仿宋_GB2312"/>
              </w:rPr>
              <w:t>随着医学影像技术的飞速发展（如CT、MRI、超声、X光、病理切片数字化等），影像数据在临床诊断、治疗方案制定、疗效评估及医学研究中扮演着核心角色。然而，海量影像数据的产生与分析对放射科、病理科等医生构成了巨大压力，存在诊断效率受限、主观差异导致误诊/漏诊风险、海量数据深层价值挖掘不足等问题。人工智能技术，特别是深度学习在图像识别、分割、分类等领域取得突破性进展，为医疗影像的智能化、精准化、自动化解析提供了革命性工具。开发高效、精准、可靠的智能化医疗影像解析系统，是响应“健康中国2030”规划、推动医疗数字化转型、提升优质医疗资源可及性的关键举措。</w:t>
            </w:r>
          </w:p>
          <w:p w14:paraId="0FA4EE0B">
            <w:pPr>
              <w:ind w:firstLine="480" w:firstLineChars="200"/>
              <w:rPr>
                <w:rFonts w:hint="eastAsia" w:eastAsia="仿宋_GB2312"/>
              </w:rPr>
            </w:pPr>
            <w:r>
              <w:rPr>
                <w:rFonts w:hint="eastAsia" w:eastAsia="仿宋_GB2312"/>
              </w:rPr>
              <w:t>2. 需求：</w:t>
            </w:r>
          </w:p>
          <w:p w14:paraId="454CD26E">
            <w:pPr>
              <w:ind w:firstLine="480" w:firstLineChars="200"/>
              <w:rPr>
                <w:rFonts w:hint="eastAsia" w:eastAsia="仿宋_GB2312"/>
              </w:rPr>
            </w:pPr>
            <w:r>
              <w:rPr>
                <w:rFonts w:hint="eastAsia" w:eastAsia="仿宋_GB2312"/>
              </w:rPr>
              <w:t>临床诊断需求：实现对特定疾病（如肺结节、乳腺癌、脑卒中、眼底病变、骨折等）影像的自动检测、勾画（分割）、分类（良恶性、分级分期）及辅助诊断报告生成，提高诊断效率与一致性。</w:t>
            </w:r>
          </w:p>
          <w:p w14:paraId="2F31B186">
            <w:pPr>
              <w:ind w:firstLine="480" w:firstLineChars="200"/>
              <w:rPr>
                <w:rFonts w:hint="eastAsia" w:eastAsia="仿宋_GB2312"/>
              </w:rPr>
            </w:pPr>
            <w:r>
              <w:rPr>
                <w:rFonts w:hint="eastAsia" w:eastAsia="仿宋_GB2312"/>
              </w:rPr>
              <w:t>工作流程优化需求：集成到现有医院信息系统（HIS/PACS），实现工作流优化、危急值自动提醒、智能随访对比，减轻医生重复性劳动。</w:t>
            </w:r>
          </w:p>
          <w:p w14:paraId="20741E86">
            <w:pPr>
              <w:ind w:firstLine="480" w:firstLineChars="200"/>
              <w:rPr>
                <w:rFonts w:hint="eastAsia" w:eastAsia="仿宋_GB2312"/>
              </w:rPr>
            </w:pPr>
            <w:r>
              <w:rPr>
                <w:rFonts w:hint="eastAsia" w:eastAsia="仿宋_GB2312"/>
              </w:rPr>
              <w:t>科研与精准医疗需求：能够从影像中提取高通量定量影像组学特征，辅助疾病机制研究、预后预测及个性化治疗策略制定。</w:t>
            </w:r>
          </w:p>
          <w:p w14:paraId="21C3C10A">
            <w:pPr>
              <w:ind w:firstLine="480" w:firstLineChars="200"/>
              <w:rPr>
                <w:rFonts w:hint="eastAsia" w:eastAsia="仿宋_GB2312"/>
              </w:rPr>
            </w:pPr>
            <w:r>
              <w:rPr>
                <w:rFonts w:hint="eastAsia" w:eastAsia="仿宋_GB2312"/>
              </w:rPr>
              <w:t>基层医疗赋能需求：通过云服务或轻量化部署，助力基层医疗机构获得高质量的影像分析能力，促进分级诊疗。</w:t>
            </w:r>
          </w:p>
          <w:p w14:paraId="6DD1659C">
            <w:pPr>
              <w:ind w:firstLine="480" w:firstLineChars="200"/>
              <w:rPr>
                <w:rFonts w:hint="eastAsia" w:eastAsia="仿宋_GB2312"/>
              </w:rPr>
            </w:pPr>
            <w:r>
              <w:rPr>
                <w:rFonts w:hint="eastAsia" w:eastAsia="仿宋_GB2312"/>
              </w:rPr>
              <w:t>系统可靠性要求：必须具备高精度、高鲁棒性，算法需考虑不同设备、协议、人群的差异性，并具备可解释性，辅助医生决策而非完全替代。</w:t>
            </w:r>
          </w:p>
          <w:p w14:paraId="15340EBB">
            <w:pPr>
              <w:ind w:firstLine="480" w:firstLineChars="200"/>
              <w:rPr>
                <w:rFonts w:hint="eastAsia" w:eastAsia="仿宋_GB2312"/>
              </w:rPr>
            </w:pPr>
            <w:r>
              <w:rPr>
                <w:rFonts w:hint="eastAsia" w:eastAsia="仿宋_GB2312"/>
              </w:rPr>
              <w:t>合规与安全要求：需符合国家医疗器械软件相关法规与标准（如NMPA认证导向），确保数据隐私安全（符合《个人信息保护法》等）。</w:t>
            </w:r>
          </w:p>
          <w:p w14:paraId="0925D58F">
            <w:pPr>
              <w:ind w:firstLine="480" w:firstLineChars="200"/>
              <w:rPr>
                <w:rFonts w:hint="eastAsia" w:eastAsia="仿宋_GB2312"/>
              </w:rPr>
            </w:pPr>
            <w:r>
              <w:rPr>
                <w:rFonts w:hint="eastAsia" w:eastAsia="仿宋_GB2312"/>
              </w:rPr>
              <w:t>3. 应用：</w:t>
            </w:r>
          </w:p>
          <w:p w14:paraId="0B7E7637">
            <w:pPr>
              <w:ind w:firstLine="480" w:firstLineChars="200"/>
              <w:rPr>
                <w:rFonts w:hint="eastAsia" w:eastAsia="仿宋_GB2312"/>
              </w:rPr>
            </w:pPr>
            <w:r>
              <w:rPr>
                <w:rFonts w:hint="eastAsia" w:eastAsia="仿宋_GB2312"/>
              </w:rPr>
              <w:t>医院临床科室：放射科、病理科、眼科、神经科、肿瘤科等的日常辅助诊断。</w:t>
            </w:r>
          </w:p>
          <w:p w14:paraId="0D89D65A">
            <w:pPr>
              <w:ind w:firstLine="480" w:firstLineChars="200"/>
              <w:rPr>
                <w:rFonts w:hint="eastAsia" w:eastAsia="仿宋_GB2312"/>
              </w:rPr>
            </w:pPr>
            <w:r>
              <w:rPr>
                <w:rFonts w:hint="eastAsia" w:eastAsia="仿宋_GB2312"/>
              </w:rPr>
              <w:t>体检中心与第三方影像中心：大规模筛查与深度健康检查。</w:t>
            </w:r>
          </w:p>
          <w:p w14:paraId="7BF10146">
            <w:pPr>
              <w:ind w:firstLine="480" w:firstLineChars="200"/>
              <w:rPr>
                <w:rFonts w:hint="eastAsia" w:eastAsia="仿宋_GB2312"/>
              </w:rPr>
            </w:pPr>
            <w:r>
              <w:rPr>
                <w:rFonts w:hint="eastAsia" w:eastAsia="仿宋_GB2312"/>
              </w:rPr>
              <w:t>医学研究机构：用于临床研究、新药试验的影像评估。</w:t>
            </w:r>
          </w:p>
          <w:p w14:paraId="67CADEAD">
            <w:pPr>
              <w:ind w:firstLine="480" w:firstLineChars="200"/>
              <w:rPr>
                <w:rFonts w:hint="eastAsia" w:eastAsia="仿宋_GB2312"/>
              </w:rPr>
            </w:pPr>
            <w:r>
              <w:rPr>
                <w:rFonts w:hint="eastAsia" w:eastAsia="仿宋_GB2312"/>
              </w:rPr>
              <w:t>区域医疗平台/医联体：实现区域内影像诊断同质化与资源共享。</w:t>
            </w:r>
          </w:p>
          <w:p w14:paraId="48BB30DC">
            <w:pPr>
              <w:adjustRightInd w:val="0"/>
              <w:snapToGrid w:val="0"/>
              <w:ind w:firstLine="480" w:firstLineChars="200"/>
              <w:jc w:val="both"/>
              <w:rPr>
                <w:rFonts w:hint="eastAsia" w:ascii="仿宋_GB2312" w:hAnsi="仿宋_GB2312" w:eastAsia="仿宋_GB2312" w:cs="仿宋_GB2312"/>
                <w:bCs/>
                <w:color w:val="000000"/>
                <w:spacing w:val="6"/>
                <w:szCs w:val="28"/>
                <w:lang w:val="en-US"/>
              </w:rPr>
            </w:pPr>
            <w:r>
              <w:rPr>
                <w:rFonts w:hint="eastAsia" w:eastAsia="仿宋_GB2312"/>
              </w:rPr>
              <w:t>公共卫生项目：应用于大规模疾病筛查（如肺癌、乳腺癌筛查）项目。</w:t>
            </w:r>
          </w:p>
        </w:tc>
      </w:tr>
      <w:tr w14:paraId="2869F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F49762">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D7659B">
            <w:pPr>
              <w:pStyle w:val="21"/>
              <w:widowControl w:val="0"/>
              <w:numPr>
                <w:ilvl w:val="0"/>
                <w:numId w:val="4"/>
              </w:numPr>
              <w:spacing w:after="160" w:line="278" w:lineRule="auto"/>
              <w:ind w:firstLineChars="0"/>
              <w:rPr>
                <w:rFonts w:hint="eastAsia" w:eastAsia="仿宋_GB2312"/>
              </w:rPr>
            </w:pPr>
            <w:r>
              <w:rPr>
                <w:rFonts w:hint="eastAsia" w:eastAsia="仿宋_GB2312"/>
              </w:rPr>
              <w:t>方案内容要求：</w:t>
            </w:r>
          </w:p>
          <w:p w14:paraId="3961B916">
            <w:pPr>
              <w:ind w:firstLine="480" w:firstLineChars="200"/>
              <w:rPr>
                <w:rFonts w:hint="eastAsia" w:eastAsia="仿宋_GB2312"/>
              </w:rPr>
            </w:pPr>
            <w:r>
              <w:rPr>
                <w:rFonts w:hint="eastAsia" w:eastAsia="仿宋_GB2312"/>
              </w:rPr>
              <w:t>总体架构设计：包括系统逻辑架构、技术架构、部署架构（如云边端协同）。</w:t>
            </w:r>
          </w:p>
          <w:p w14:paraId="7506494C">
            <w:pPr>
              <w:ind w:firstLine="480" w:firstLineChars="200"/>
              <w:rPr>
                <w:rFonts w:hint="eastAsia" w:eastAsia="仿宋_GB2312"/>
              </w:rPr>
            </w:pPr>
            <w:r>
              <w:rPr>
                <w:rFonts w:hint="eastAsia" w:eastAsia="仿宋_GB2312"/>
              </w:rPr>
              <w:t>核心算法设计：详细阐述针对至少一种特定医学影像模态（如胸部CT、乳腺X线、病理WSI等）和至少一种疾病（如肺结节、乳腺癌微钙化等）的智能化解析算法设计。包括但不限于数据预处理、模型选型与创新（如CNN、Transformer及其变体）、训练策略、后处理等。</w:t>
            </w:r>
          </w:p>
          <w:p w14:paraId="0D36CD51">
            <w:pPr>
              <w:ind w:firstLine="480" w:firstLineChars="200"/>
              <w:rPr>
                <w:rFonts w:hint="eastAsia" w:eastAsia="仿宋_GB2312"/>
              </w:rPr>
            </w:pPr>
            <w:r>
              <w:rPr>
                <w:rFonts w:hint="eastAsia" w:eastAsia="仿宋_GB2312"/>
              </w:rPr>
              <w:t>系统功能设计：至少包含影像上传与管理、智能分析、结果可视化（如病灶定位、分割渲染、特征展示）、结构化报告辅助生成、用户交互界面等模块描述。</w:t>
            </w:r>
          </w:p>
          <w:p w14:paraId="0A6F54B3">
            <w:pPr>
              <w:ind w:firstLine="480" w:firstLineChars="200"/>
              <w:rPr>
                <w:rFonts w:hint="eastAsia" w:eastAsia="仿宋_GB2312"/>
              </w:rPr>
            </w:pPr>
            <w:r>
              <w:rPr>
                <w:rFonts w:hint="eastAsia" w:eastAsia="仿宋_GB2312"/>
              </w:rPr>
              <w:t>性能与验证方案：提出明确的模型性能评价指标（如灵敏度、特异度、Dice系数、AUC等）及验证计划（如交叉验证、外部测试集验证）。</w:t>
            </w:r>
          </w:p>
          <w:p w14:paraId="6C111A50">
            <w:pPr>
              <w:ind w:firstLine="480" w:firstLineChars="200"/>
              <w:rPr>
                <w:rFonts w:hint="eastAsia" w:eastAsia="仿宋_GB2312"/>
              </w:rPr>
            </w:pPr>
            <w:r>
              <w:rPr>
                <w:rFonts w:hint="eastAsia" w:eastAsia="仿宋_GB2312"/>
              </w:rPr>
              <w:t>合规安全设计：说明数据隐私保护、系统安全、算法可解释性及潜在注册认证考虑。</w:t>
            </w:r>
          </w:p>
          <w:p w14:paraId="672B4D3F">
            <w:pPr>
              <w:ind w:firstLine="480" w:firstLineChars="200"/>
              <w:rPr>
                <w:rFonts w:hint="eastAsia" w:eastAsia="仿宋_GB2312"/>
              </w:rPr>
            </w:pPr>
            <w:r>
              <w:rPr>
                <w:rFonts w:hint="eastAsia" w:eastAsia="仿宋_GB2312"/>
              </w:rPr>
              <w:t>原型或可行性证明：鼓励提交关键算法的代码片段、伪代码、流程图，或展示原型系统设计的详细说明。有条件者可提供在公开数据集（如LIDC-IDRI、CBIS-DDSM等）上的初步实验结果。</w:t>
            </w:r>
          </w:p>
          <w:p w14:paraId="033F502B">
            <w:pPr>
              <w:ind w:firstLine="480" w:firstLineChars="200"/>
              <w:rPr>
                <w:rFonts w:hint="eastAsia" w:eastAsia="仿宋_GB2312"/>
              </w:rPr>
            </w:pPr>
            <w:r>
              <w:rPr>
                <w:rFonts w:hint="eastAsia" w:eastAsia="仿宋_GB2312"/>
              </w:rPr>
              <w:t>2. 作品提交形式：</w:t>
            </w:r>
          </w:p>
          <w:p w14:paraId="2EF332C7">
            <w:pPr>
              <w:ind w:firstLine="480" w:firstLineChars="200"/>
              <w:rPr>
                <w:rFonts w:hint="eastAsia" w:eastAsia="仿宋_GB2312"/>
              </w:rPr>
            </w:pPr>
            <w:r>
              <w:rPr>
                <w:rFonts w:hint="eastAsia" w:eastAsia="仿宋_GB2312"/>
              </w:rPr>
              <w:t>主文档：系统设计方案报告（PDF格式），篇幅不少于20页，结构清晰，图文并茂。</w:t>
            </w:r>
          </w:p>
          <w:p w14:paraId="42EFB5C4">
            <w:pPr>
              <w:ind w:firstLine="480" w:firstLineChars="200"/>
              <w:rPr>
                <w:rFonts w:hint="eastAsia" w:eastAsia="仿宋_GB2312"/>
              </w:rPr>
            </w:pPr>
            <w:r>
              <w:rPr>
                <w:rFonts w:hint="eastAsia" w:eastAsia="仿宋_GB2312"/>
              </w:rPr>
              <w:t>附件：可包括演示视频（不超过10分钟）、PPT讲解稿、核心代码文件（如Python脚本）、算法流程图源文件等。</w:t>
            </w:r>
          </w:p>
          <w:p w14:paraId="62C831F6">
            <w:pPr>
              <w:adjustRightInd w:val="0"/>
              <w:snapToGrid w:val="0"/>
              <w:ind w:firstLine="480" w:firstLineChars="200"/>
              <w:rPr>
                <w:rFonts w:hint="eastAsia" w:ascii="仿宋_GB2312" w:hAnsi="仿宋_GB2312" w:eastAsia="仿宋_GB2312" w:cs="仿宋_GB2312"/>
                <w:color w:val="000000"/>
              </w:rPr>
            </w:pPr>
            <w:r>
              <w:rPr>
                <w:rFonts w:hint="eastAsia" w:eastAsia="仿宋_GB2312"/>
              </w:rPr>
              <w:t>知识产权声明：原创性声明及引用标注。</w:t>
            </w:r>
          </w:p>
        </w:tc>
      </w:tr>
      <w:tr w14:paraId="55DA5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12C71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4011AE68">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3C1A53">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创新性（30%）：算法设计、模型架构或系统集成思路具有显著新颖性，能有效解决现有技术痛点。</w:t>
            </w:r>
          </w:p>
          <w:p w14:paraId="46CAA391">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科学性与可行性（25%）：技术路线合理，理论依据充分，方案具备工程实现与临床落地的可行性。</w:t>
            </w:r>
          </w:p>
          <w:p w14:paraId="66F1BB1A">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完整性与深度（20%）：方案涵盖背景分析、需求拆解、详细设计、验证计划、安全合规等，对关键问题思考深入。</w:t>
            </w:r>
          </w:p>
          <w:p w14:paraId="62A3D4F2">
            <w:pPr>
              <w:overflowPunct w:val="0"/>
              <w:adjustRightInd w:val="0"/>
              <w:snapToGrid w:val="0"/>
              <w:ind w:firstLine="504" w:firstLineChars="200"/>
              <w:rPr>
                <w:rFonts w:hint="eastAsia" w:ascii="仿宋" w:hAnsi="仿宋" w:eastAsia="仿宋"/>
                <w:bCs/>
                <w:spacing w:val="6"/>
                <w:szCs w:val="28"/>
              </w:rPr>
            </w:pPr>
            <w:r>
              <w:rPr>
                <w:rFonts w:hint="eastAsia" w:ascii="仿宋" w:hAnsi="仿宋" w:eastAsia="仿宋"/>
                <w:bCs/>
                <w:spacing w:val="6"/>
                <w:szCs w:val="28"/>
              </w:rPr>
              <w:t>应用价值与前景（15%）：明确阐述系统的临床应用场景、预期性能指标及社会经济效益，市场前景广阔。</w:t>
            </w:r>
          </w:p>
          <w:p w14:paraId="3D7DCAE0">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 w:hAnsi="仿宋" w:eastAsia="仿宋"/>
                <w:bCs/>
                <w:spacing w:val="6"/>
                <w:szCs w:val="28"/>
              </w:rPr>
              <w:t>表达与呈现（10%）：方案文档逻辑清晰，表述准确，演示材料生动直观。</w:t>
            </w:r>
          </w:p>
        </w:tc>
      </w:tr>
      <w:tr w14:paraId="0F2E0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45B0AB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A90CA0">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23F03B4F">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7B37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4E51D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74C2A2">
            <w:pPr>
              <w:ind w:firstLine="480" w:firstLineChars="200"/>
              <w:rPr>
                <w:rFonts w:hint="eastAsia" w:eastAsia="仿宋_GB2312"/>
              </w:rPr>
            </w:pPr>
            <w:r>
              <w:rPr>
                <w:rFonts w:hint="eastAsia" w:eastAsia="仿宋_GB2312"/>
              </w:rPr>
              <w:t>技术指导：组织医疗影像AI领域的专家、临床医生提供线上/线下技术咨询与辅导。</w:t>
            </w:r>
          </w:p>
          <w:p w14:paraId="3A5B91DA">
            <w:pPr>
              <w:ind w:firstLine="480" w:firstLineChars="200"/>
              <w:rPr>
                <w:rFonts w:hint="eastAsia" w:eastAsia="仿宋_GB2312"/>
              </w:rPr>
            </w:pPr>
            <w:r>
              <w:rPr>
                <w:rFonts w:hint="eastAsia" w:eastAsia="仿宋_GB2312"/>
              </w:rPr>
              <w:t>成果转化支持：对具有突出创新性和应用潜力的获胜方案，协助对接产业投资、医疗机构进行联合开发或试点应用。</w:t>
            </w:r>
          </w:p>
          <w:p w14:paraId="0E5A9728">
            <w:pPr>
              <w:adjustRightInd w:val="0"/>
              <w:snapToGrid w:val="0"/>
              <w:ind w:firstLine="480" w:firstLineChars="200"/>
              <w:jc w:val="both"/>
              <w:rPr>
                <w:rFonts w:hint="eastAsia" w:ascii="仿宋_GB2312" w:hAnsi="仿宋_GB2312" w:eastAsia="仿宋_GB2312" w:cs="仿宋_GB2312"/>
                <w:bCs/>
                <w:color w:val="000000"/>
                <w:spacing w:val="6"/>
                <w:szCs w:val="28"/>
              </w:rPr>
            </w:pPr>
            <w:r>
              <w:rPr>
                <w:rFonts w:hint="eastAsia" w:eastAsia="仿宋_GB2312"/>
              </w:rPr>
              <w:t>知识产权保护：明确参赛团队对其提交方案的核心知识产权所有权，主办方仅在评审及相关宣传范围内使用。</w:t>
            </w:r>
          </w:p>
        </w:tc>
      </w:tr>
      <w:tr w14:paraId="0A0F1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FBE888B">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9D76F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2DCEB32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0A82DB8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3F0C48D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1.其中获得特等奖的团队中选择最优作品作为“擂主”团队，开展后期项目落地及创业实践。</w:t>
            </w:r>
          </w:p>
          <w:p w14:paraId="080E84F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2.为部分优秀获奖团队提供线下实习工作机会，并由本单位出具实习证明。</w:t>
            </w:r>
          </w:p>
        </w:tc>
      </w:tr>
    </w:tbl>
    <w:p w14:paraId="4E9A370D">
      <w:pPr>
        <w:tabs>
          <w:tab w:val="left" w:pos="8640"/>
        </w:tabs>
        <w:adjustRightInd w:val="0"/>
        <w:snapToGrid w:val="0"/>
        <w:spacing w:line="560" w:lineRule="exact"/>
        <w:rPr>
          <w:rFonts w:hint="eastAsia" w:ascii="方正黑体简体" w:eastAsia="方正黑体简体"/>
          <w:bCs/>
          <w:spacing w:val="6"/>
          <w:sz w:val="32"/>
          <w:szCs w:val="32"/>
          <w:lang w:val="en-US"/>
        </w:rPr>
      </w:pPr>
    </w:p>
    <w:p w14:paraId="745FDF7F">
      <w:pPr>
        <w:tabs>
          <w:tab w:val="left" w:pos="8640"/>
        </w:tabs>
        <w:adjustRightInd w:val="0"/>
        <w:snapToGrid w:val="0"/>
        <w:spacing w:line="560" w:lineRule="exact"/>
        <w:rPr>
          <w:rFonts w:hint="eastAsia" w:ascii="方正黑体简体" w:eastAsia="方正黑体简体"/>
          <w:bCs/>
          <w:spacing w:val="6"/>
          <w:sz w:val="32"/>
          <w:szCs w:val="32"/>
          <w:lang w:val="en-US"/>
        </w:rPr>
      </w:pPr>
    </w:p>
    <w:p w14:paraId="1D3817A7">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9B69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A96577E">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C9522">
            <w:pPr>
              <w:ind w:firstLine="480" w:firstLineChars="200"/>
              <w:rPr>
                <w:rFonts w:hint="eastAsia" w:eastAsia="仿宋_GB2312"/>
              </w:rPr>
            </w:pPr>
            <w:r>
              <w:rPr>
                <w:rFonts w:hint="eastAsia" w:eastAsia="仿宋_GB2312"/>
              </w:rPr>
              <w:t>推动AI与医学交叉创新：促进深度学习、计算机视觉等前沿信息技术与临床医学的深度融合，探索适用于医疗影像复杂场景的新型算法模型。</w:t>
            </w:r>
          </w:p>
          <w:p w14:paraId="69A1F5BE">
            <w:pPr>
              <w:ind w:firstLine="480" w:firstLineChars="200"/>
              <w:rPr>
                <w:rFonts w:hint="eastAsia" w:eastAsia="仿宋_GB2312"/>
              </w:rPr>
            </w:pPr>
            <w:r>
              <w:rPr>
                <w:rFonts w:hint="eastAsia" w:eastAsia="仿宋_GB2312"/>
              </w:rPr>
              <w:t>攻克医学影像分析难题：针对医学影像中的小目标、多尺度、弱对比度、标注数据稀缺等问题，寻求技术突破，提升解析精度与鲁棒性。</w:t>
            </w:r>
          </w:p>
          <w:p w14:paraId="055D634D">
            <w:pPr>
              <w:ind w:firstLine="480" w:firstLineChars="200"/>
              <w:rPr>
                <w:rFonts w:hint="eastAsia" w:eastAsia="仿宋_GB2312"/>
              </w:rPr>
            </w:pPr>
            <w:r>
              <w:rPr>
                <w:rFonts w:hint="eastAsia" w:eastAsia="仿宋_GB2312"/>
              </w:rPr>
              <w:t>构建技术标准与规范雏形：为智能化医疗影像系统的开发流程、测试验证、安全合规提供有益的技术实践参考。</w:t>
            </w:r>
          </w:p>
          <w:p w14:paraId="6869A512">
            <w:pPr>
              <w:overflowPunct w:val="0"/>
              <w:adjustRightInd w:val="0"/>
              <w:snapToGrid w:val="0"/>
              <w:rPr>
                <w:rFonts w:hint="eastAsia" w:ascii="仿宋_GB2312" w:hAnsi="仿宋_GB2312" w:eastAsia="仿宋_GB2312" w:cs="仿宋_GB2312"/>
                <w:bCs/>
                <w:color w:val="000000"/>
                <w:spacing w:val="6"/>
                <w:szCs w:val="28"/>
              </w:rPr>
            </w:pPr>
            <w:r>
              <w:rPr>
                <w:rFonts w:hint="eastAsia" w:eastAsia="仿宋_GB2312"/>
              </w:rPr>
              <w:t>培养复合型人才：通过实战选拔和锻炼一批兼具医学知识、AI技术和工程能力的复合型创新人才。</w:t>
            </w:r>
          </w:p>
        </w:tc>
      </w:tr>
      <w:tr w14:paraId="2BD8F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44D8DB">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45FA19">
            <w:pPr>
              <w:ind w:firstLine="480" w:firstLineChars="200"/>
              <w:rPr>
                <w:rFonts w:hint="eastAsia" w:eastAsia="仿宋_GB2312"/>
              </w:rPr>
            </w:pPr>
            <w:r>
              <w:rPr>
                <w:rFonts w:hint="eastAsia" w:eastAsia="仿宋_GB2312"/>
              </w:rPr>
              <w:t>经济效益：</w:t>
            </w:r>
          </w:p>
          <w:p w14:paraId="29986D52">
            <w:pPr>
              <w:ind w:firstLine="480" w:firstLineChars="200"/>
              <w:rPr>
                <w:rFonts w:hint="eastAsia" w:eastAsia="仿宋_GB2312"/>
              </w:rPr>
            </w:pPr>
            <w:r>
              <w:rPr>
                <w:rFonts w:hint="eastAsia" w:eastAsia="仿宋_GB2312"/>
              </w:rPr>
              <w:t>提升医疗效率：缩短影像诊断时间，降低人力成本，优化资源配置。</w:t>
            </w:r>
          </w:p>
          <w:p w14:paraId="57A6AD44">
            <w:pPr>
              <w:ind w:firstLine="480" w:firstLineChars="200"/>
              <w:rPr>
                <w:rFonts w:hint="eastAsia" w:eastAsia="仿宋_GB2312"/>
              </w:rPr>
            </w:pPr>
            <w:r>
              <w:rPr>
                <w:rFonts w:hint="eastAsia" w:eastAsia="仿宋_GB2312"/>
              </w:rPr>
              <w:t>创造产业价值：催生高端医疗AI软件产业，带动从算法研发、系统集成到服务运营的产业链发展。</w:t>
            </w:r>
          </w:p>
          <w:p w14:paraId="3051F8AC">
            <w:pPr>
              <w:ind w:firstLine="480" w:firstLineChars="200"/>
              <w:rPr>
                <w:rFonts w:hint="eastAsia" w:eastAsia="仿宋_GB2312"/>
              </w:rPr>
            </w:pPr>
            <w:r>
              <w:rPr>
                <w:rFonts w:hint="eastAsia" w:eastAsia="仿宋_GB2312"/>
              </w:rPr>
              <w:t>降低医疗支出：通过早筛、早诊和精准治疗，减少患者后期治疗费用和医保支出。</w:t>
            </w:r>
          </w:p>
          <w:p w14:paraId="53BDB8B2">
            <w:pPr>
              <w:ind w:firstLine="480" w:firstLineChars="200"/>
              <w:rPr>
                <w:rFonts w:hint="eastAsia" w:eastAsia="仿宋_GB2312"/>
              </w:rPr>
            </w:pPr>
            <w:r>
              <w:rPr>
                <w:rFonts w:hint="eastAsia" w:eastAsia="仿宋_GB2312"/>
              </w:rPr>
              <w:t>社会效益：</w:t>
            </w:r>
          </w:p>
          <w:p w14:paraId="3063792E">
            <w:pPr>
              <w:ind w:firstLine="480" w:firstLineChars="200"/>
              <w:rPr>
                <w:rFonts w:hint="eastAsia" w:eastAsia="仿宋_GB2312"/>
              </w:rPr>
            </w:pPr>
            <w:r>
              <w:rPr>
                <w:rFonts w:hint="eastAsia" w:eastAsia="仿宋_GB2312"/>
              </w:rPr>
              <w:t>提升诊断水平：减少漏诊误诊，提高医疗服务质量和均质化水平，惠及更广大患者，尤其是基层群众。</w:t>
            </w:r>
          </w:p>
          <w:p w14:paraId="732C9E7E">
            <w:pPr>
              <w:ind w:firstLine="480" w:firstLineChars="200"/>
              <w:rPr>
                <w:rFonts w:hint="eastAsia" w:eastAsia="仿宋_GB2312"/>
              </w:rPr>
            </w:pPr>
            <w:r>
              <w:rPr>
                <w:rFonts w:hint="eastAsia" w:eastAsia="仿宋_GB2312"/>
              </w:rPr>
              <w:t>助力健康中国：支持重大疾病防治关口前移，提升全民健康水平。</w:t>
            </w:r>
          </w:p>
          <w:p w14:paraId="2203B5BA">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eastAsia="仿宋_GB2312"/>
              </w:rPr>
              <w:t>促进科技进步：产出具有自主知识产权的核心技术，提升我国在智慧医疗领域的国际竞争力。</w:t>
            </w:r>
          </w:p>
        </w:tc>
      </w:tr>
    </w:tbl>
    <w:p w14:paraId="026E194E">
      <w:pPr>
        <w:rPr>
          <w:rFonts w:hint="eastAsia" w:ascii="楷体_GB2312" w:hAnsi="楷体_GB2312" w:eastAsia="楷体_GB2312" w:cs="楷体_GB2312"/>
        </w:rPr>
      </w:pPr>
      <w:r>
        <w:rPr>
          <w:rFonts w:hint="eastAsia" w:ascii="楷体_GB2312" w:hAnsi="楷体_GB2312" w:eastAsia="楷体_GB2312" w:cs="楷体_GB2312"/>
        </w:rPr>
        <w:br w:type="page"/>
      </w:r>
    </w:p>
    <w:p w14:paraId="2959587E">
      <w:pPr>
        <w:rPr>
          <w:rFonts w:hint="eastAsia" w:ascii="楷体_GB2312" w:hAnsi="楷体_GB2312" w:eastAsia="楷体_GB2312" w:cs="楷体_GB2312"/>
        </w:rPr>
      </w:pPr>
    </w:p>
    <w:p w14:paraId="31CB7C69">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DC77797">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18</w:t>
      </w:r>
    </w:p>
    <w:p w14:paraId="1A2E3CB0">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3789613C">
      <w:pPr>
        <w:tabs>
          <w:tab w:val="left" w:pos="8640"/>
        </w:tabs>
        <w:adjustRightInd w:val="0"/>
        <w:snapToGrid w:val="0"/>
        <w:spacing w:line="560" w:lineRule="exact"/>
        <w:rPr>
          <w:rFonts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189"/>
        <w:gridCol w:w="1073"/>
        <w:gridCol w:w="2783"/>
      </w:tblGrid>
      <w:tr w14:paraId="2094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55" w:type="dxa"/>
            <w:vAlign w:val="center"/>
          </w:tcPr>
          <w:p w14:paraId="7E8FC070">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7045" w:type="dxa"/>
            <w:gridSpan w:val="3"/>
            <w:vAlign w:val="center"/>
          </w:tcPr>
          <w:p w14:paraId="1EC3E2C7">
            <w:pPr>
              <w:adjustRightInd w:val="0"/>
              <w:snapToGrid w:val="0"/>
              <w:ind w:firstLine="480"/>
              <w:jc w:val="center"/>
              <w:rPr>
                <w:rFonts w:ascii="仿宋_GB2312" w:hAnsi="仿宋_GB2312" w:eastAsia="仿宋_GB2312" w:cs="仿宋_GB2312"/>
              </w:rPr>
            </w:pPr>
            <w:r>
              <w:rPr>
                <w:rFonts w:eastAsia="仿宋_GB2312"/>
                <w:color w:val="000000"/>
              </w:rPr>
              <w:t>北京洛必德科技有限公司</w:t>
            </w:r>
          </w:p>
        </w:tc>
      </w:tr>
      <w:tr w14:paraId="6D7B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555" w:type="dxa"/>
            <w:vAlign w:val="center"/>
          </w:tcPr>
          <w:p w14:paraId="07354DF0">
            <w:pPr>
              <w:adjustRightInd w:val="0"/>
              <w:snapToGrid w:val="0"/>
              <w:jc w:val="center"/>
              <w:rPr>
                <w:rFonts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7045" w:type="dxa"/>
            <w:gridSpan w:val="3"/>
            <w:vAlign w:val="center"/>
          </w:tcPr>
          <w:p w14:paraId="73945275">
            <w:pPr>
              <w:adjustRightInd w:val="0"/>
              <w:snapToGrid w:val="0"/>
              <w:jc w:val="center"/>
              <w:rPr>
                <w:rFonts w:ascii="仿宋_GB2312" w:hAnsi="仿宋_GB2312" w:eastAsia="仿宋_GB2312" w:cs="仿宋_GB2312"/>
                <w:bCs/>
                <w:spacing w:val="6"/>
                <w:szCs w:val="28"/>
                <w:lang w:val="en-US"/>
              </w:rPr>
            </w:pPr>
            <w:r>
              <w:rPr>
                <w:rFonts w:eastAsia="仿宋_GB2312"/>
                <w:bCs/>
                <w:spacing w:val="6"/>
                <w:szCs w:val="28"/>
                <w:lang w:val="en-US"/>
              </w:rPr>
              <w:t>私营企业</w:t>
            </w:r>
          </w:p>
        </w:tc>
      </w:tr>
      <w:tr w14:paraId="0E60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5" w:type="dxa"/>
            <w:vAlign w:val="center"/>
          </w:tcPr>
          <w:p w14:paraId="766F17D1">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7045" w:type="dxa"/>
            <w:gridSpan w:val="3"/>
            <w:vAlign w:val="center"/>
          </w:tcPr>
          <w:p w14:paraId="7F2B5925">
            <w:pPr>
              <w:adjustRightInd w:val="0"/>
              <w:ind w:firstLine="480"/>
              <w:jc w:val="center"/>
              <w:rPr>
                <w:rFonts w:ascii="仿宋_GB2312" w:hAnsi="仿宋_GB2312" w:eastAsia="仿宋_GB2312" w:cs="仿宋_GB2312"/>
              </w:rPr>
            </w:pPr>
            <w:r>
              <w:rPr>
                <w:rFonts w:eastAsia="仿宋_GB2312"/>
              </w:rPr>
              <w:t>北京市海淀区知春路6号</w:t>
            </w:r>
            <w:r>
              <w:rPr>
                <w:rFonts w:hint="eastAsia" w:eastAsia="仿宋_GB2312"/>
                <w:lang w:eastAsia="zh-CN"/>
              </w:rPr>
              <w:t>（</w:t>
            </w:r>
            <w:r>
              <w:rPr>
                <w:rFonts w:eastAsia="仿宋_GB2312"/>
              </w:rPr>
              <w:t>锦秋国际大厦</w:t>
            </w:r>
            <w:r>
              <w:rPr>
                <w:rFonts w:hint="eastAsia" w:eastAsia="仿宋_GB2312"/>
                <w:lang w:eastAsia="zh-CN"/>
              </w:rPr>
              <w:t>）</w:t>
            </w:r>
            <w:r>
              <w:rPr>
                <w:rFonts w:eastAsia="仿宋_GB2312"/>
              </w:rPr>
              <w:t>20层A06-1</w:t>
            </w:r>
          </w:p>
        </w:tc>
      </w:tr>
      <w:tr w14:paraId="7D1A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555" w:type="dxa"/>
            <w:vAlign w:val="center"/>
          </w:tcPr>
          <w:p w14:paraId="4D821DE6">
            <w:pPr>
              <w:adjustRightInd w:val="0"/>
              <w:spacing w:line="560" w:lineRule="exact"/>
              <w:jc w:val="center"/>
              <w:rPr>
                <w:rFonts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7045" w:type="dxa"/>
            <w:gridSpan w:val="3"/>
            <w:vAlign w:val="center"/>
          </w:tcPr>
          <w:p w14:paraId="63A5E993">
            <w:pPr>
              <w:adjustRightInd w:val="0"/>
              <w:snapToGrid w:val="0"/>
              <w:ind w:firstLine="504" w:firstLineChars="200"/>
              <w:jc w:val="both"/>
              <w:rPr>
                <w:rFonts w:eastAsia="仿宋_GB2312"/>
                <w:bCs/>
                <w:spacing w:val="6"/>
                <w:szCs w:val="28"/>
                <w:lang w:val="en-US"/>
              </w:rPr>
            </w:pPr>
            <w:r>
              <w:rPr>
                <w:rFonts w:hint="eastAsia" w:eastAsia="仿宋_GB2312"/>
                <w:bCs/>
                <w:spacing w:val="6"/>
                <w:szCs w:val="28"/>
                <w:lang w:val="en-US"/>
              </w:rPr>
              <w:t>北京洛必德科技有限公司（以下简称公司），成立于</w:t>
            </w:r>
            <w:r>
              <w:rPr>
                <w:rFonts w:eastAsia="仿宋_GB2312"/>
                <w:bCs/>
                <w:spacing w:val="6"/>
                <w:szCs w:val="28"/>
                <w:lang w:val="en-US"/>
              </w:rPr>
              <w:t>2018</w:t>
            </w:r>
            <w:r>
              <w:rPr>
                <w:rFonts w:hint="eastAsia" w:eastAsia="仿宋_GB2312"/>
                <w:bCs/>
                <w:spacing w:val="6"/>
                <w:szCs w:val="28"/>
                <w:lang w:val="en-US"/>
              </w:rPr>
              <w:t>年，位于北京市，是一家以从事科技推广和应用服务业为主的企业。企业注册资本</w:t>
            </w:r>
            <w:r>
              <w:rPr>
                <w:rFonts w:eastAsia="仿宋_GB2312"/>
                <w:bCs/>
                <w:spacing w:val="6"/>
                <w:szCs w:val="28"/>
                <w:lang w:val="en-US"/>
              </w:rPr>
              <w:t>1655.196822</w:t>
            </w:r>
            <w:r>
              <w:rPr>
                <w:rFonts w:hint="eastAsia" w:eastAsia="仿宋_GB2312"/>
                <w:bCs/>
                <w:spacing w:val="6"/>
                <w:szCs w:val="28"/>
                <w:lang w:val="en-US"/>
              </w:rPr>
              <w:t>万人民币，实缴资本</w:t>
            </w:r>
            <w:r>
              <w:rPr>
                <w:rFonts w:eastAsia="仿宋_GB2312"/>
                <w:bCs/>
                <w:spacing w:val="6"/>
                <w:szCs w:val="28"/>
                <w:lang w:val="en-US"/>
              </w:rPr>
              <w:t>1344.57821</w:t>
            </w:r>
            <w:r>
              <w:rPr>
                <w:rFonts w:hint="eastAsia" w:eastAsia="仿宋_GB2312"/>
                <w:bCs/>
                <w:spacing w:val="6"/>
                <w:szCs w:val="28"/>
                <w:lang w:val="en-US"/>
              </w:rPr>
              <w:t>万人民币，并已于</w:t>
            </w:r>
            <w:r>
              <w:rPr>
                <w:rFonts w:eastAsia="仿宋_GB2312"/>
                <w:bCs/>
                <w:spacing w:val="6"/>
                <w:szCs w:val="28"/>
                <w:lang w:val="en-US"/>
              </w:rPr>
              <w:t>2024</w:t>
            </w:r>
            <w:r>
              <w:rPr>
                <w:rFonts w:hint="eastAsia" w:eastAsia="仿宋_GB2312"/>
                <w:bCs/>
                <w:spacing w:val="6"/>
                <w:szCs w:val="28"/>
                <w:lang w:val="en-US"/>
              </w:rPr>
              <w:t>年完成了</w:t>
            </w:r>
            <w:r>
              <w:rPr>
                <w:rFonts w:eastAsia="仿宋_GB2312"/>
                <w:bCs/>
                <w:spacing w:val="6"/>
                <w:szCs w:val="28"/>
                <w:lang w:val="en-US"/>
              </w:rPr>
              <w:t>B+</w:t>
            </w:r>
            <w:r>
              <w:rPr>
                <w:rFonts w:hint="eastAsia" w:eastAsia="仿宋_GB2312"/>
                <w:bCs/>
                <w:spacing w:val="6"/>
                <w:szCs w:val="28"/>
                <w:lang w:val="en-US"/>
              </w:rPr>
              <w:t>轮。</w:t>
            </w:r>
            <w:r>
              <w:rPr>
                <w:rFonts w:eastAsia="仿宋_GB2312"/>
                <w:bCs/>
                <w:spacing w:val="6"/>
                <w:szCs w:val="28"/>
                <w:lang w:val="en-US"/>
              </w:rPr>
              <w:t>2024</w:t>
            </w:r>
            <w:r>
              <w:rPr>
                <w:rFonts w:hint="eastAsia" w:eastAsia="仿宋_GB2312"/>
                <w:bCs/>
                <w:spacing w:val="6"/>
                <w:szCs w:val="28"/>
                <w:lang w:val="en-US"/>
              </w:rPr>
              <w:t>年获评国家级专精特新企业。公司是一家专注于人工智能机器人及自动驾驶领域的国家高新技术企业和国家级专精特新“小巨人”企业。</w:t>
            </w:r>
          </w:p>
          <w:p w14:paraId="5CBE0AAC">
            <w:pPr>
              <w:adjustRightInd w:val="0"/>
              <w:snapToGrid w:val="0"/>
              <w:ind w:firstLine="504" w:firstLineChars="200"/>
              <w:jc w:val="both"/>
              <w:rPr>
                <w:rFonts w:eastAsia="仿宋_GB2312"/>
                <w:bCs/>
                <w:spacing w:val="6"/>
                <w:szCs w:val="28"/>
                <w:lang w:val="en-US"/>
              </w:rPr>
            </w:pPr>
            <w:r>
              <w:rPr>
                <w:rFonts w:hint="eastAsia" w:eastAsia="仿宋_GB2312"/>
                <w:bCs/>
                <w:spacing w:val="6"/>
                <w:szCs w:val="28"/>
                <w:lang w:val="en-US"/>
              </w:rPr>
              <w:t>公司依托国内外知名高校包括北京航空航天大学、美国加州大学、美国加州州立理工大学等强大的教授、博士研发团队，在精准感知、智能识别、类人认知、</w:t>
            </w:r>
            <w:r>
              <w:rPr>
                <w:rFonts w:eastAsia="仿宋_GB2312"/>
                <w:bCs/>
                <w:spacing w:val="6"/>
                <w:szCs w:val="28"/>
                <w:lang w:val="en-US"/>
              </w:rPr>
              <w:t xml:space="preserve"> </w:t>
            </w:r>
            <w:r>
              <w:rPr>
                <w:rFonts w:hint="eastAsia" w:eastAsia="仿宋_GB2312"/>
                <w:bCs/>
                <w:spacing w:val="6"/>
                <w:szCs w:val="28"/>
                <w:lang w:val="en-US"/>
              </w:rPr>
              <w:t>协同决策及高精度建图和运动控制方面构筑了强大的自主核心专利技术体系，并成功应用于智能机器人、自动驾驶、智慧城市及智慧环境等人工智能行业。</w:t>
            </w:r>
          </w:p>
          <w:p w14:paraId="5333B7A5">
            <w:pPr>
              <w:adjustRightInd w:val="0"/>
              <w:snapToGrid w:val="0"/>
              <w:ind w:firstLine="504" w:firstLineChars="200"/>
              <w:jc w:val="both"/>
              <w:rPr>
                <w:rFonts w:ascii="仿宋_GB2312" w:hAnsi="仿宋_GB2312" w:eastAsia="仿宋_GB2312" w:cs="仿宋_GB2312"/>
                <w:bCs/>
                <w:spacing w:val="6"/>
                <w:szCs w:val="28"/>
              </w:rPr>
            </w:pPr>
            <w:r>
              <w:rPr>
                <w:rFonts w:hint="eastAsia" w:eastAsia="仿宋_GB2312"/>
                <w:bCs/>
                <w:spacing w:val="6"/>
                <w:szCs w:val="28"/>
                <w:lang w:val="en-US"/>
              </w:rPr>
              <w:t>公司立足自主研发，形成了可以覆盖室内和室外、送物和载人、平面和立体的全场景产品矩阵，推出了包括养老服务、接待引导、物品配送、清洁消毒等</w:t>
            </w:r>
            <w:r>
              <w:rPr>
                <w:rFonts w:eastAsia="仿宋_GB2312"/>
                <w:bCs/>
                <w:spacing w:val="6"/>
                <w:szCs w:val="28"/>
                <w:lang w:val="en-US"/>
              </w:rPr>
              <w:t>12</w:t>
            </w:r>
            <w:r>
              <w:rPr>
                <w:rFonts w:hint="eastAsia" w:eastAsia="仿宋_GB2312"/>
                <w:bCs/>
                <w:spacing w:val="6"/>
                <w:szCs w:val="28"/>
                <w:lang w:val="en-US"/>
              </w:rPr>
              <w:t>个系列的产品，是业内少数能够围绕商业、政务和家庭等各类客户的经营动线，提供全场景智能升级解决方案的企业。公司的机器人产品已经通过</w:t>
            </w:r>
            <w:r>
              <w:rPr>
                <w:rFonts w:eastAsia="仿宋_GB2312"/>
                <w:bCs/>
                <w:spacing w:val="6"/>
                <w:szCs w:val="28"/>
                <w:lang w:val="en-US"/>
              </w:rPr>
              <w:t>40</w:t>
            </w:r>
            <w:r>
              <w:rPr>
                <w:rFonts w:hint="eastAsia" w:eastAsia="仿宋_GB2312"/>
                <w:bCs/>
                <w:spacing w:val="6"/>
                <w:szCs w:val="28"/>
                <w:lang w:val="en-US"/>
              </w:rPr>
              <w:t>余个国家和地区的准入认证，覆盖中国、欧美、日韩等主流市场，截至目前，公司产品已覆盖了国内外</w:t>
            </w:r>
            <w:r>
              <w:rPr>
                <w:rFonts w:eastAsia="仿宋_GB2312"/>
                <w:bCs/>
                <w:spacing w:val="6"/>
                <w:szCs w:val="28"/>
                <w:lang w:val="en-US"/>
              </w:rPr>
              <w:t>3000</w:t>
            </w:r>
            <w:r>
              <w:rPr>
                <w:rFonts w:hint="eastAsia" w:eastAsia="仿宋_GB2312"/>
                <w:bCs/>
                <w:spacing w:val="6"/>
                <w:szCs w:val="28"/>
                <w:lang w:val="en-US"/>
              </w:rPr>
              <w:t>多家酒店、</w:t>
            </w:r>
            <w:r>
              <w:rPr>
                <w:rFonts w:eastAsia="仿宋_GB2312"/>
                <w:bCs/>
                <w:spacing w:val="6"/>
                <w:szCs w:val="28"/>
                <w:lang w:val="en-US"/>
              </w:rPr>
              <w:t>600</w:t>
            </w:r>
            <w:r>
              <w:rPr>
                <w:rFonts w:hint="eastAsia" w:eastAsia="仿宋_GB2312"/>
                <w:bCs/>
                <w:spacing w:val="6"/>
                <w:szCs w:val="28"/>
                <w:lang w:val="en-US"/>
              </w:rPr>
              <w:t>多家医疗机构，并已全面进入海外市场，实现机器人落地超</w:t>
            </w:r>
            <w:r>
              <w:rPr>
                <w:rFonts w:eastAsia="仿宋_GB2312"/>
                <w:bCs/>
                <w:spacing w:val="6"/>
                <w:szCs w:val="28"/>
                <w:lang w:val="en-US"/>
              </w:rPr>
              <w:t>10000</w:t>
            </w:r>
            <w:r>
              <w:rPr>
                <w:rFonts w:hint="eastAsia" w:eastAsia="仿宋_GB2312"/>
                <w:bCs/>
                <w:spacing w:val="6"/>
                <w:szCs w:val="28"/>
                <w:lang w:val="en-US"/>
              </w:rPr>
              <w:t>台，积累了多场景的运营经验</w:t>
            </w:r>
            <w:r>
              <w:rPr>
                <w:rFonts w:hint="eastAsia" w:eastAsia="仿宋_GB2312"/>
                <w:bCs/>
                <w:spacing w:val="6"/>
                <w:szCs w:val="28"/>
                <w:lang w:val="en-US" w:eastAsia="zh-CN"/>
              </w:rPr>
              <w:t>，</w:t>
            </w:r>
            <w:r>
              <w:rPr>
                <w:rFonts w:hint="eastAsia" w:eastAsia="仿宋_GB2312"/>
                <w:bCs/>
                <w:spacing w:val="6"/>
                <w:szCs w:val="28"/>
                <w:lang w:val="en-US"/>
              </w:rPr>
              <w:t>形成了大规模机器人群的运营能力。</w:t>
            </w:r>
          </w:p>
        </w:tc>
      </w:tr>
      <w:tr w14:paraId="2E39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555" w:type="dxa"/>
            <w:vAlign w:val="center"/>
          </w:tcPr>
          <w:p w14:paraId="7CFCDB73">
            <w:pPr>
              <w:adjustRightInd w:val="0"/>
              <w:snapToGrid w:val="0"/>
              <w:jc w:val="center"/>
              <w:rPr>
                <w:rFonts w:ascii="楷体_GB2312" w:hAnsi="楷体_GB2312" w:eastAsia="楷体_GB2312" w:cs="楷体_GB2312"/>
                <w:bCs/>
                <w:spacing w:val="6"/>
                <w:szCs w:val="28"/>
                <w:highlight w:val="none"/>
              </w:rPr>
            </w:pPr>
            <w:r>
              <w:rPr>
                <w:rFonts w:hint="eastAsia" w:ascii="楷体_GB2312" w:hAnsi="楷体_GB2312" w:eastAsia="楷体_GB2312" w:cs="楷体_GB2312"/>
                <w:sz w:val="28"/>
                <w:szCs w:val="32"/>
                <w:highlight w:val="none"/>
                <w:lang w:val="en-US"/>
              </w:rPr>
              <w:t>联系人</w:t>
            </w:r>
          </w:p>
        </w:tc>
        <w:tc>
          <w:tcPr>
            <w:tcW w:w="3189" w:type="dxa"/>
            <w:vAlign w:val="center"/>
          </w:tcPr>
          <w:p w14:paraId="10328C04">
            <w:pPr>
              <w:adjustRightInd w:val="0"/>
              <w:snapToGrid w:val="0"/>
              <w:jc w:val="center"/>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吴凡</w:t>
            </w:r>
          </w:p>
        </w:tc>
        <w:tc>
          <w:tcPr>
            <w:tcW w:w="1073" w:type="dxa"/>
            <w:vAlign w:val="center"/>
          </w:tcPr>
          <w:p w14:paraId="1FCDDA08">
            <w:pPr>
              <w:adjustRightInd w:val="0"/>
              <w:spacing w:line="560" w:lineRule="exact"/>
              <w:jc w:val="center"/>
              <w:rPr>
                <w:rFonts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职务</w:t>
            </w:r>
          </w:p>
        </w:tc>
        <w:tc>
          <w:tcPr>
            <w:tcW w:w="2783" w:type="dxa"/>
            <w:vAlign w:val="center"/>
          </w:tcPr>
          <w:p w14:paraId="78F0DF1A">
            <w:pPr>
              <w:adjustRightInd w:val="0"/>
              <w:snapToGrid w:val="0"/>
              <w:jc w:val="center"/>
              <w:rPr>
                <w:rFonts w:hint="eastAsia"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经理</w:t>
            </w:r>
          </w:p>
        </w:tc>
      </w:tr>
      <w:tr w14:paraId="4430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555" w:type="dxa"/>
            <w:vAlign w:val="center"/>
          </w:tcPr>
          <w:p w14:paraId="3D7DDA40">
            <w:pPr>
              <w:adjustRightInd w:val="0"/>
              <w:snapToGrid w:val="0"/>
              <w:jc w:val="center"/>
              <w:rPr>
                <w:rFonts w:ascii="楷体_GB2312" w:hAnsi="楷体_GB2312" w:eastAsia="楷体_GB2312" w:cs="楷体_GB2312"/>
                <w:bCs/>
                <w:spacing w:val="6"/>
                <w:szCs w:val="28"/>
                <w:highlight w:val="none"/>
                <w:lang w:val="en-US"/>
              </w:rPr>
            </w:pPr>
            <w:r>
              <w:rPr>
                <w:rFonts w:hint="eastAsia" w:ascii="楷体_GB2312" w:hAnsi="楷体_GB2312" w:eastAsia="楷体_GB2312" w:cs="楷体_GB2312"/>
                <w:sz w:val="28"/>
                <w:szCs w:val="32"/>
                <w:highlight w:val="none"/>
                <w:lang w:val="en-US"/>
              </w:rPr>
              <w:t>联系方式</w:t>
            </w:r>
          </w:p>
        </w:tc>
        <w:tc>
          <w:tcPr>
            <w:tcW w:w="3189" w:type="dxa"/>
            <w:vAlign w:val="center"/>
          </w:tcPr>
          <w:p w14:paraId="41A48059">
            <w:pPr>
              <w:adjustRightInd w:val="0"/>
              <w:snapToGrid w:val="0"/>
              <w:jc w:val="center"/>
              <w:rPr>
                <w:rFonts w:hint="default"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13683055476</w:t>
            </w:r>
          </w:p>
        </w:tc>
        <w:tc>
          <w:tcPr>
            <w:tcW w:w="1073" w:type="dxa"/>
            <w:vAlign w:val="center"/>
          </w:tcPr>
          <w:p w14:paraId="408119AC">
            <w:pPr>
              <w:adjustRightInd w:val="0"/>
              <w:spacing w:line="560" w:lineRule="exact"/>
              <w:jc w:val="center"/>
              <w:rPr>
                <w:rFonts w:ascii="楷体_GB2312" w:hAnsi="楷体_GB2312" w:eastAsia="楷体_GB2312" w:cs="楷体_GB2312"/>
                <w:sz w:val="28"/>
                <w:szCs w:val="32"/>
                <w:highlight w:val="none"/>
              </w:rPr>
            </w:pPr>
            <w:r>
              <w:rPr>
                <w:rFonts w:hint="eastAsia" w:ascii="楷体_GB2312" w:hAnsi="楷体_GB2312" w:eastAsia="楷体_GB2312" w:cs="楷体_GB2312"/>
                <w:sz w:val="28"/>
                <w:szCs w:val="32"/>
                <w:highlight w:val="none"/>
              </w:rPr>
              <w:t>微信</w:t>
            </w:r>
          </w:p>
        </w:tc>
        <w:tc>
          <w:tcPr>
            <w:tcW w:w="2783" w:type="dxa"/>
            <w:vAlign w:val="center"/>
          </w:tcPr>
          <w:p w14:paraId="64CDABB3">
            <w:pPr>
              <w:adjustRightInd w:val="0"/>
              <w:snapToGrid w:val="0"/>
              <w:jc w:val="center"/>
              <w:rPr>
                <w:rFonts w:hint="default" w:ascii="仿宋_GB2312" w:hAnsi="仿宋_GB2312" w:eastAsia="仿宋_GB2312" w:cs="仿宋_GB2312"/>
                <w:bCs/>
                <w:color w:val="000000"/>
                <w:spacing w:val="6"/>
                <w:szCs w:val="28"/>
                <w:lang w:val="en-US" w:eastAsia="zh-CN"/>
              </w:rPr>
            </w:pPr>
            <w:r>
              <w:rPr>
                <w:rFonts w:hint="eastAsia" w:ascii="仿宋_GB2312" w:hAnsi="仿宋_GB2312" w:eastAsia="仿宋_GB2312" w:cs="仿宋_GB2312"/>
                <w:bCs/>
                <w:color w:val="000000"/>
                <w:spacing w:val="6"/>
                <w:szCs w:val="28"/>
                <w:lang w:val="en-US" w:eastAsia="zh-CN"/>
              </w:rPr>
              <w:t>同手机号</w:t>
            </w:r>
          </w:p>
        </w:tc>
      </w:tr>
    </w:tbl>
    <w:p w14:paraId="1CBD7045">
      <w:pPr>
        <w:tabs>
          <w:tab w:val="left" w:pos="8640"/>
        </w:tabs>
        <w:adjustRightInd w:val="0"/>
        <w:snapToGrid w:val="0"/>
        <w:spacing w:line="560" w:lineRule="exact"/>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4A8EC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76D4AD">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B0E24F">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面向无人驾驶的交警手势识别系统</w:t>
            </w:r>
          </w:p>
        </w:tc>
      </w:tr>
      <w:tr w14:paraId="717C5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BA5207">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0FEC82">
            <w:pPr>
              <w:adjustRightInd w:val="0"/>
              <w:snapToGrid w:val="0"/>
              <w:jc w:val="center"/>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lang w:val="en-US"/>
              </w:rPr>
              <w:t>人工智能</w:t>
            </w:r>
          </w:p>
        </w:tc>
      </w:tr>
      <w:tr w14:paraId="762D8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007F2EF">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D85871">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城市智慧交通与无人驾驶技术的快速发展，自动驾驶车辆在结构化道路上已能较好处理固定交通信号。然而，在真实、复杂的开放道路场景中，仍存在一个关键感知盲区：对现场交警动态指挥手势的识别与理解。</w:t>
            </w:r>
          </w:p>
          <w:p w14:paraId="71DBCD1C">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例如，当交叉路口信号灯故障、举行大型活动或发生交通事故时，交警现场指挥成为交通流的核心依据。目前的无人驾驶车辆，即便搭载了先进的感知系统，也普遍无法准确识别交警的“停止”、“直行”、“左转待转”等手势意图，可能导致车辆误判、违规通行甚至引发安全隐患。这一能力缺失，严重制约了无人驾驶车辆在现实道路中的全天候、全场景适用性。</w:t>
            </w:r>
          </w:p>
          <w:p w14:paraId="0A5F904D">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本题目要求研发一套高鲁棒性、强实时性的交警手势识别系统，能够作为独立感知模块无缝嵌入无人驾驶平台。系统需在复杂光照、天气、背景干扰及交警个体差异下，稳定完成手势的检测、跟踪、分类与意图解析，并将结果转化为车辆控制域可理解的标准化指令，实现人车互信。</w:t>
            </w:r>
          </w:p>
        </w:tc>
      </w:tr>
      <w:tr w14:paraId="3E1B5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CDEA09">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150F94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1.</w:t>
            </w:r>
            <w:r>
              <w:rPr>
                <w:rFonts w:hint="eastAsia" w:ascii="仿宋_GB2312" w:hAnsi="仿宋_GB2312" w:eastAsia="仿宋_GB2312" w:cs="仿宋_GB2312"/>
                <w:bCs/>
                <w:color w:val="000000"/>
                <w:spacing w:val="6"/>
                <w:szCs w:val="28"/>
              </w:rPr>
              <w:t>作品形式</w:t>
            </w:r>
          </w:p>
          <w:p w14:paraId="3A783C70">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系统设计方案报告：需详细阐述系统的总体架构、核心模块设计、关键算法、通信与数据流程、以及拟采用的验证方法。以</w:t>
            </w:r>
            <w:r>
              <w:rPr>
                <w:rFonts w:ascii="仿宋_GB2312" w:hAnsi="仿宋_GB2312" w:eastAsia="仿宋_GB2312" w:cs="仿宋_GB2312"/>
                <w:bCs/>
                <w:color w:val="000000"/>
                <w:spacing w:val="6"/>
                <w:szCs w:val="28"/>
              </w:rPr>
              <w:t>word</w:t>
            </w:r>
            <w:r>
              <w:rPr>
                <w:rFonts w:hint="eastAsia" w:ascii="仿宋_GB2312" w:hAnsi="仿宋_GB2312" w:eastAsia="仿宋_GB2312" w:cs="仿宋_GB2312"/>
                <w:bCs/>
                <w:color w:val="000000"/>
                <w:spacing w:val="6"/>
                <w:szCs w:val="28"/>
              </w:rPr>
              <w:t>版和</w:t>
            </w:r>
            <w:r>
              <w:rPr>
                <w:rFonts w:ascii="仿宋_GB2312" w:hAnsi="仿宋_GB2312" w:eastAsia="仿宋_GB2312" w:cs="仿宋_GB2312"/>
                <w:bCs/>
                <w:color w:val="000000"/>
                <w:spacing w:val="6"/>
                <w:szCs w:val="28"/>
              </w:rPr>
              <w:t>PPT</w:t>
            </w:r>
            <w:r>
              <w:rPr>
                <w:rFonts w:hint="eastAsia" w:ascii="仿宋_GB2312" w:hAnsi="仿宋_GB2312" w:eastAsia="仿宋_GB2312" w:cs="仿宋_GB2312"/>
                <w:bCs/>
                <w:color w:val="000000"/>
                <w:spacing w:val="6"/>
                <w:szCs w:val="28"/>
              </w:rPr>
              <w:t>版呈现。应包含题目（结合选题和项目自身特点另拟）、团队简介、研究背景、研究内容、技术路线、创新优势、下一步展望等部分。</w:t>
            </w:r>
          </w:p>
          <w:p w14:paraId="31B36323">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核心功能原型或仿真验证：鼓励提交可运行的软件原型、仿真测试脚本或硬件在环测试方案，以证明技术路线的可行性。</w:t>
            </w:r>
          </w:p>
          <w:p w14:paraId="3229FBD4">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eastAsia="zh-CN"/>
              </w:rPr>
              <w:t>2.</w:t>
            </w:r>
            <w:r>
              <w:rPr>
                <w:rFonts w:hint="eastAsia" w:ascii="仿宋_GB2312" w:hAnsi="仿宋_GB2312" w:eastAsia="仿宋_GB2312" w:cs="仿宋_GB2312"/>
                <w:bCs/>
                <w:color w:val="000000"/>
                <w:spacing w:val="6"/>
                <w:szCs w:val="28"/>
              </w:rPr>
              <w:t>提交说明</w:t>
            </w:r>
          </w:p>
          <w:p w14:paraId="0FAEB249">
            <w:pPr>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所有材料（报告、代码、演示视频等）需在规定截止日期前统一提交。</w:t>
            </w:r>
          </w:p>
          <w:p w14:paraId="3AFBF669">
            <w:pPr>
              <w:adjustRightInd w:val="0"/>
              <w:snapToGrid w:val="0"/>
              <w:ind w:firstLine="504" w:firstLineChars="200"/>
              <w:rPr>
                <w:rFonts w:ascii="仿宋_GB2312" w:hAnsi="仿宋_GB2312" w:eastAsia="仿宋_GB2312" w:cs="仿宋_GB2312"/>
                <w:color w:val="000000"/>
              </w:rPr>
            </w:pPr>
            <w:r>
              <w:rPr>
                <w:rFonts w:hint="eastAsia" w:ascii="仿宋_GB2312" w:hAnsi="仿宋_GB2312" w:eastAsia="仿宋_GB2312" w:cs="仿宋_GB2312"/>
                <w:bCs/>
                <w:color w:val="000000"/>
                <w:spacing w:val="6"/>
                <w:szCs w:val="28"/>
              </w:rPr>
              <w:t>报告应逻辑清晰，重点突出创新点与技术实现细节，避免泛泛而谈。</w:t>
            </w:r>
          </w:p>
        </w:tc>
      </w:tr>
      <w:tr w14:paraId="65BBA2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B6CCE7">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60877365">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380E42">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以下评审量化标准仅供参考，具体以竞赛组委会指导意见为准。</w:t>
            </w:r>
          </w:p>
          <w:p w14:paraId="6C87E3B3">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评审将主要从创新性、可行性、完整性和应用潜力四个维度进行量化考察，总分为</w:t>
            </w:r>
            <w:r>
              <w:rPr>
                <w:rFonts w:ascii="仿宋_GB2312" w:hAnsi="仿宋_GB2312" w:eastAsia="仿宋_GB2312" w:cs="仿宋_GB2312"/>
                <w:bCs/>
                <w:color w:val="000000"/>
                <w:spacing w:val="6"/>
                <w:szCs w:val="28"/>
              </w:rPr>
              <w:t>100</w:t>
            </w:r>
            <w:r>
              <w:rPr>
                <w:rFonts w:hint="eastAsia" w:ascii="仿宋_GB2312" w:hAnsi="仿宋_GB2312" w:eastAsia="仿宋_GB2312" w:cs="仿宋_GB2312"/>
                <w:bCs/>
                <w:color w:val="000000"/>
                <w:spacing w:val="6"/>
                <w:szCs w:val="28"/>
              </w:rPr>
              <w:t>分。</w:t>
            </w:r>
          </w:p>
          <w:p w14:paraId="34372F2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【创新性】</w:t>
            </w:r>
          </w:p>
          <w:p w14:paraId="4419D9F1">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思路创新（</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分）：是否提出了新颖的检测架构、攻击模型或关联分析方法，有效弥补现有方法的不足。</w:t>
            </w:r>
          </w:p>
          <w:p w14:paraId="2ECAD169">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技术创新（</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分）：是否采用了先进的检测算法，并在降低误报率、提高实时性等方面有明确设计。</w:t>
            </w:r>
          </w:p>
          <w:p w14:paraId="35D0815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【可行性】</w:t>
            </w:r>
          </w:p>
          <w:p w14:paraId="1AFE9211">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技术可实现性（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分）：方案所依赖的技术是否在学生团队能力和现有开源工具</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平台支持范围内。核心模块是否有明确、分步骤的实现路径。</w:t>
            </w:r>
          </w:p>
          <w:p w14:paraId="33365724">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资源与成本控制（</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分）：是否充分考虑车规级硬件成本、算力需求与通信开销，方案是否具备在真实或仿真环境下进行低成本验证的条件。</w:t>
            </w:r>
          </w:p>
          <w:p w14:paraId="46B9C610">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【完整性】</w:t>
            </w:r>
          </w:p>
          <w:p w14:paraId="5FF02050">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方案系统性（</w:t>
            </w:r>
            <w:r>
              <w:rPr>
                <w:rFonts w:ascii="仿宋_GB2312" w:hAnsi="仿宋_GB2312" w:eastAsia="仿宋_GB2312" w:cs="仿宋_GB2312"/>
                <w:bCs/>
                <w:color w:val="000000"/>
                <w:spacing w:val="6"/>
                <w:szCs w:val="28"/>
              </w:rPr>
              <w:t>15</w:t>
            </w:r>
            <w:r>
              <w:rPr>
                <w:rFonts w:hint="eastAsia" w:ascii="仿宋_GB2312" w:hAnsi="仿宋_GB2312" w:eastAsia="仿宋_GB2312" w:cs="仿宋_GB2312"/>
                <w:bCs/>
                <w:color w:val="000000"/>
                <w:spacing w:val="6"/>
                <w:szCs w:val="28"/>
              </w:rPr>
              <w:t>分）：是否完整定义了系统各组件功能、接口和数据流，是否设计了从数据采集、分析到报警响应的完整闭环。</w:t>
            </w:r>
          </w:p>
          <w:p w14:paraId="1A14885D">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验证充分性（</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分）：是否设计了具体、可操作的验证场景，并给出了预期的验证结果和评估指标。</w:t>
            </w:r>
          </w:p>
          <w:p w14:paraId="20C00F76">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【应用潜力】</w:t>
            </w:r>
          </w:p>
          <w:p w14:paraId="031DD3C6">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场景契合度（</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分）：方案是否精准针对智能网联汽车示范区、自动驾驶测试场等实际场景的安全痛点。</w:t>
            </w:r>
          </w:p>
          <w:p w14:paraId="3F7D528B">
            <w:pPr>
              <w:overflowPunct w:val="0"/>
              <w:adjustRightInd w:val="0"/>
              <w:snapToGrid w:val="0"/>
              <w:ind w:firstLine="504" w:firstLineChars="200"/>
              <w:rPr>
                <w:rFonts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扩展性（</w:t>
            </w:r>
            <w:r>
              <w:rPr>
                <w:rFonts w:ascii="仿宋_GB2312" w:hAnsi="仿宋_GB2312" w:eastAsia="仿宋_GB2312" w:cs="仿宋_GB2312"/>
                <w:bCs/>
                <w:color w:val="000000"/>
                <w:spacing w:val="6"/>
                <w:szCs w:val="28"/>
              </w:rPr>
              <w:t>5</w:t>
            </w:r>
            <w:r>
              <w:rPr>
                <w:rFonts w:hint="eastAsia" w:ascii="仿宋_GB2312" w:hAnsi="仿宋_GB2312" w:eastAsia="仿宋_GB2312" w:cs="仿宋_GB2312"/>
                <w:bCs/>
                <w:color w:val="000000"/>
                <w:spacing w:val="6"/>
                <w:szCs w:val="28"/>
              </w:rPr>
              <w:t>分）：方案架构是否模块化，能否便捷地集成新的检测规则或适配新的车型。</w:t>
            </w:r>
          </w:p>
        </w:tc>
      </w:tr>
      <w:tr w14:paraId="35BC1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930F71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EF858D7">
            <w:pPr>
              <w:overflowPunct w:val="0"/>
              <w:adjustRightInd w:val="0"/>
              <w:snapToGrid w:val="0"/>
              <w:ind w:firstLine="480"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66F1E866">
      <w:pPr>
        <w:tabs>
          <w:tab w:val="left" w:pos="8640"/>
        </w:tabs>
        <w:adjustRightInd w:val="0"/>
        <w:snapToGrid w:val="0"/>
        <w:spacing w:line="440" w:lineRule="exact"/>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639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906FF85">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2CD9CA4">
            <w:pPr>
              <w:adjustRightInd w:val="0"/>
              <w:snapToGrid w:val="0"/>
              <w:ind w:firstLine="504" w:firstLineChars="200"/>
              <w:jc w:val="both"/>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lang w:val="en-US"/>
              </w:rPr>
              <w:t>单位配备专业技术人员，举办线上讲座，解读真实环境下的安全需求与挑战，帮助团队理解应用背景。落实时间：赛题发布后</w:t>
            </w:r>
            <w:r>
              <w:rPr>
                <w:rFonts w:ascii="仿宋_GB2312" w:hAnsi="仿宋_GB2312" w:eastAsia="仿宋_GB2312" w:cs="仿宋_GB2312"/>
                <w:bCs/>
                <w:color w:val="000000"/>
                <w:spacing w:val="6"/>
                <w:szCs w:val="28"/>
                <w:lang w:val="en-US"/>
              </w:rPr>
              <w:t>1</w:t>
            </w:r>
            <w:r>
              <w:rPr>
                <w:rFonts w:hint="eastAsia" w:ascii="仿宋_GB2312" w:hAnsi="仿宋_GB2312" w:eastAsia="仿宋_GB2312" w:cs="仿宋_GB2312"/>
                <w:bCs/>
                <w:color w:val="000000"/>
                <w:spacing w:val="6"/>
                <w:szCs w:val="28"/>
                <w:lang w:val="en-US"/>
              </w:rPr>
              <w:t>个月内。</w:t>
            </w:r>
          </w:p>
        </w:tc>
      </w:tr>
      <w:tr w14:paraId="25963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3BD18F2">
            <w:pPr>
              <w:adjustRightInd w:val="0"/>
              <w:snapToGrid w:val="0"/>
              <w:spacing w:line="560" w:lineRule="exact"/>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EC508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77182DA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w:t>
            </w:r>
          </w:p>
          <w:p w14:paraId="59C0D94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二、 激励措施</w:t>
            </w:r>
          </w:p>
          <w:p w14:paraId="572BD49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提供与相关行业企业的深度合作和创业实践机会，帮助团队将项目转化为实际应用。</w:t>
            </w:r>
          </w:p>
          <w:p w14:paraId="78CBACC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颁发奖杯和证书，在宣传推广、培训指导、交流展示人才招聘、创投对接等方面给予优先扶持。</w:t>
            </w:r>
          </w:p>
          <w:p w14:paraId="4E8F935E">
            <w:pPr>
              <w:adjustRightInd w:val="0"/>
              <w:snapToGrid w:val="0"/>
              <w:ind w:firstLine="504" w:firstLineChars="200"/>
              <w:jc w:val="both"/>
              <w:rPr>
                <w:rFonts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注：以上所有奖励措施均以培养人才、激励创新为目的，不附带任何商业捆绑条件，不要求获奖团队转让知识产权或必须入职某指定企业。参赛学生享有其作品的全部知识产权，并自愿决定是否参与后续的实习或孵化。</w:t>
            </w:r>
          </w:p>
        </w:tc>
      </w:tr>
    </w:tbl>
    <w:p w14:paraId="0F4739EE">
      <w:pPr>
        <w:tabs>
          <w:tab w:val="left" w:pos="8640"/>
        </w:tabs>
        <w:adjustRightInd w:val="0"/>
        <w:snapToGrid w:val="0"/>
        <w:spacing w:line="560" w:lineRule="exact"/>
        <w:rPr>
          <w:rFonts w:hint="eastAsia" w:ascii="方正黑体简体" w:eastAsia="方正黑体简体"/>
          <w:bCs/>
          <w:spacing w:val="6"/>
          <w:sz w:val="32"/>
          <w:szCs w:val="32"/>
          <w:lang w:val="en-US"/>
        </w:rPr>
      </w:pPr>
    </w:p>
    <w:p w14:paraId="5CDBFDDD">
      <w:pPr>
        <w:tabs>
          <w:tab w:val="left" w:pos="8640"/>
        </w:tabs>
        <w:adjustRightInd w:val="0"/>
        <w:snapToGrid w:val="0"/>
        <w:spacing w:line="560" w:lineRule="exact"/>
        <w:rPr>
          <w:rFonts w:hint="eastAsia" w:ascii="方正黑体简体" w:eastAsia="方正黑体简体"/>
          <w:bCs/>
          <w:spacing w:val="6"/>
          <w:sz w:val="32"/>
          <w:szCs w:val="32"/>
          <w:lang w:val="en-US"/>
        </w:rPr>
      </w:pPr>
    </w:p>
    <w:p w14:paraId="6134F72A">
      <w:pPr>
        <w:tabs>
          <w:tab w:val="left" w:pos="8640"/>
        </w:tabs>
        <w:adjustRightInd w:val="0"/>
        <w:snapToGrid w:val="0"/>
        <w:spacing w:line="560" w:lineRule="exact"/>
        <w:rPr>
          <w:rFonts w:hint="eastAsia" w:ascii="方正黑体简体" w:eastAsia="方正黑体简体"/>
          <w:bCs/>
          <w:spacing w:val="6"/>
          <w:sz w:val="32"/>
          <w:szCs w:val="32"/>
          <w:lang w:val="en-US"/>
        </w:rPr>
      </w:pPr>
    </w:p>
    <w:p w14:paraId="0E6E4960">
      <w:pPr>
        <w:tabs>
          <w:tab w:val="left" w:pos="8640"/>
        </w:tabs>
        <w:adjustRightInd w:val="0"/>
        <w:snapToGrid w:val="0"/>
        <w:spacing w:line="560" w:lineRule="exact"/>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526D2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741841E2">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5902E">
            <w:pPr>
              <w:overflowPunct w:val="0"/>
              <w:adjustRightInd w:val="0"/>
              <w:snapToGrid w:val="0"/>
              <w:ind w:firstLine="504"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当前，高阶自动驾驶的感知系统严重依赖高精地图与固定交通设施识别，但在中国乃至全球复杂的城市道路环境中，交警、养路工人等道路作业人员的现场指挥是保障交通有序与安全的核心且不可缺失的环节。无人车若无法理解此类动态、非标准化的生物指令，其安全运行域将存在根本性缺陷。本项目的成功实施，将填补自动驾驶在人车直接交互（</w:t>
            </w:r>
            <w:r>
              <w:rPr>
                <w:rFonts w:ascii="仿宋_GB2312" w:hAnsi="仿宋_GB2312" w:eastAsia="仿宋_GB2312" w:cs="仿宋_GB2312"/>
                <w:bCs/>
                <w:color w:val="000000"/>
                <w:spacing w:val="6"/>
                <w:szCs w:val="28"/>
              </w:rPr>
              <w:t>V2P</w:t>
            </w:r>
            <w:r>
              <w:rPr>
                <w:rFonts w:hint="eastAsia" w:ascii="仿宋_GB2312" w:hAnsi="仿宋_GB2312" w:eastAsia="仿宋_GB2312" w:cs="仿宋_GB2312"/>
                <w:bCs/>
                <w:color w:val="000000"/>
                <w:spacing w:val="6"/>
                <w:szCs w:val="28"/>
              </w:rPr>
              <w:t>高级形式）</w:t>
            </w:r>
            <w:r>
              <w:rPr>
                <w:rFonts w:ascii="仿宋_GB2312" w:hAnsi="仿宋_GB2312" w:eastAsia="仿宋_GB2312" w:cs="仿宋_GB2312"/>
                <w:bCs/>
                <w:color w:val="000000"/>
                <w:spacing w:val="6"/>
                <w:szCs w:val="28"/>
              </w:rPr>
              <w:t xml:space="preserve"> </w:t>
            </w:r>
            <w:r>
              <w:rPr>
                <w:rFonts w:hint="eastAsia" w:ascii="仿宋_GB2312" w:hAnsi="仿宋_GB2312" w:eastAsia="仿宋_GB2312" w:cs="仿宋_GB2312"/>
                <w:bCs/>
                <w:color w:val="000000"/>
                <w:spacing w:val="6"/>
                <w:szCs w:val="28"/>
              </w:rPr>
              <w:t>这一关键环节的能力空白，是推动</w:t>
            </w:r>
            <w:r>
              <w:rPr>
                <w:rFonts w:ascii="仿宋_GB2312" w:hAnsi="仿宋_GB2312" w:eastAsia="仿宋_GB2312" w:cs="仿宋_GB2312"/>
                <w:bCs/>
                <w:color w:val="000000"/>
                <w:spacing w:val="6"/>
                <w:szCs w:val="28"/>
              </w:rPr>
              <w:t>L4</w:t>
            </w:r>
            <w:r>
              <w:rPr>
                <w:rFonts w:hint="eastAsia" w:ascii="仿宋_GB2312" w:hAnsi="仿宋_GB2312" w:eastAsia="仿宋_GB2312" w:cs="仿宋_GB2312"/>
                <w:bCs/>
                <w:color w:val="000000"/>
                <w:spacing w:val="6"/>
                <w:szCs w:val="28"/>
              </w:rPr>
              <w:t>级自动驾驶真正走向全场景落地必须突破的技术瓶颈之一。</w:t>
            </w:r>
          </w:p>
          <w:p w14:paraId="6B636F42">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项目不仅要求高精度的静态手势分类，更要求在对动态、连续手势序列进行时空建模的基础上，理解其指挥意图。这涉及复杂场景下的轻量化视觉感知、时序行为理解与实时决策推理的深度融合，是计算机视觉与边缘智能领域的尖端挑战。项目成果将推动小样本学习、模型轻量化、时序动作识别等前沿算法在真实产业场景中的验证与优化。</w:t>
            </w:r>
          </w:p>
        </w:tc>
      </w:tr>
      <w:tr w14:paraId="7CCFA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466818">
            <w:pPr>
              <w:overflowPunct w:val="0"/>
              <w:adjustRightInd w:val="0"/>
              <w:snapToGrid w:val="0"/>
              <w:jc w:val="center"/>
              <w:rPr>
                <w:rFonts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B8FD47">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提升产业核心竞争力与安全性标准</w:t>
            </w:r>
            <w:r>
              <w:rPr>
                <w:rFonts w:hint="eastAsia" w:ascii="仿宋_GB2312" w:hAnsi="仿宋_GB2312" w:eastAsia="仿宋_GB2312" w:cs="仿宋_GB2312"/>
                <w:bCs/>
                <w:color w:val="000000"/>
                <w:spacing w:val="6"/>
                <w:szCs w:val="28"/>
              </w:rPr>
              <w:t>：为国内自动驾驶解决方案提供商和整车企业提供一项关键的差异化技术模块，增强国产自动驾驶系统应对中国复杂路况的完整能力。推动行业建立针对动态交通参与者交互的新的安全测试标准与法规，从技术层面降低因误判导致的交通事故风险，提升公众对自动驾驶技术的信任度。</w:t>
            </w:r>
          </w:p>
          <w:p w14:paraId="1E9D34D9">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创造显著的经济价值</w:t>
            </w:r>
            <w:r>
              <w:rPr>
                <w:rFonts w:hint="eastAsia" w:ascii="仿宋_GB2312" w:hAnsi="仿宋_GB2312" w:eastAsia="仿宋_GB2312" w:cs="仿宋_GB2312"/>
                <w:bCs/>
                <w:color w:val="000000"/>
                <w:spacing w:val="6"/>
                <w:szCs w:val="28"/>
              </w:rPr>
              <w:t>：形成可商业化的软件</w:t>
            </w:r>
            <w:r>
              <w:rPr>
                <w:rFonts w:ascii="仿宋_GB2312" w:hAnsi="仿宋_GB2312" w:eastAsia="仿宋_GB2312" w:cs="仿宋_GB2312"/>
                <w:bCs/>
                <w:color w:val="000000"/>
                <w:spacing w:val="6"/>
                <w:szCs w:val="28"/>
              </w:rPr>
              <w:t>IP</w:t>
            </w:r>
            <w:r>
              <w:rPr>
                <w:rFonts w:hint="eastAsia" w:ascii="仿宋_GB2312" w:hAnsi="仿宋_GB2312" w:eastAsia="仿宋_GB2312" w:cs="仿宋_GB2312"/>
                <w:bCs/>
                <w:color w:val="000000"/>
                <w:spacing w:val="6"/>
                <w:szCs w:val="28"/>
              </w:rPr>
              <w:t>或车载感知模块，服务于前装量产及后装改造市场。核心技术可迁移至更广泛的领域，如机器人对人类引导手势的理解、特殊工矿场景下的人机交互、智慧安防中的特定行为识别等，开拓新的技术应用市场。</w:t>
            </w:r>
          </w:p>
          <w:p w14:paraId="5C8F3234">
            <w:pPr>
              <w:overflowPunct w:val="0"/>
              <w:adjustRightInd w:val="0"/>
              <w:snapToGrid w:val="0"/>
              <w:ind w:firstLine="506" w:firstLineChars="200"/>
              <w:rPr>
                <w:rFonts w:ascii="仿宋_GB2312" w:hAnsi="仿宋_GB2312" w:eastAsia="仿宋_GB2312" w:cs="仿宋_GB2312"/>
                <w:bCs/>
                <w:color w:val="000000"/>
                <w:spacing w:val="6"/>
                <w:szCs w:val="28"/>
              </w:rPr>
            </w:pPr>
            <w:r>
              <w:rPr>
                <w:rFonts w:hint="eastAsia" w:ascii="仿宋_GB2312" w:hAnsi="仿宋_GB2312" w:eastAsia="仿宋_GB2312" w:cs="仿宋_GB2312"/>
                <w:b/>
                <w:color w:val="000000"/>
                <w:spacing w:val="6"/>
                <w:szCs w:val="28"/>
              </w:rPr>
              <w:t>赋能智慧城市建设与社会治理</w:t>
            </w:r>
            <w:r>
              <w:rPr>
                <w:rFonts w:hint="eastAsia" w:ascii="仿宋_GB2312" w:hAnsi="仿宋_GB2312" w:eastAsia="仿宋_GB2312" w:cs="仿宋_GB2312"/>
                <w:bCs/>
                <w:color w:val="000000"/>
                <w:spacing w:val="6"/>
                <w:szCs w:val="28"/>
              </w:rPr>
              <w:t>：使无人驾驶车辆能无缝融入由人工指挥的交通流，在信号失灵等情况下维持路口通行效率，减少拥堵。为特种车辆（如消防、救护）的自动驾驶在紧急通行时，提供理解交警手动疏导指令的能力，保障生命通道畅通。作为智能交通关键感知技术，其自主研发有助于保障我国未来交通基础设施的技术安全与数据主权。</w:t>
            </w:r>
          </w:p>
        </w:tc>
      </w:tr>
    </w:tbl>
    <w:p w14:paraId="536F8A2F">
      <w:pPr>
        <w:rPr>
          <w:rFonts w:hint="eastAsia" w:ascii="楷体_GB2312" w:hAnsi="楷体_GB2312" w:eastAsia="楷体_GB2312" w:cs="楷体_GB2312"/>
        </w:rPr>
      </w:pPr>
      <w:r>
        <w:rPr>
          <w:rFonts w:hint="eastAsia" w:ascii="楷体_GB2312" w:hAnsi="楷体_GB2312" w:eastAsia="楷体_GB2312" w:cs="楷体_GB2312"/>
        </w:rPr>
        <w:br w:type="page"/>
      </w:r>
    </w:p>
    <w:p w14:paraId="18B315FF">
      <w:pPr>
        <w:rPr>
          <w:rFonts w:hint="eastAsia" w:ascii="楷体_GB2312" w:hAnsi="楷体_GB2312" w:eastAsia="楷体_GB2312" w:cs="楷体_GB2312"/>
        </w:rPr>
      </w:pPr>
    </w:p>
    <w:p w14:paraId="58834C3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7EA34A1">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w:t>
      </w:r>
      <w:r>
        <w:rPr>
          <w:rFonts w:hint="eastAsia" w:eastAsia="方正小标宋简体" w:cs="方正小标宋简体"/>
          <w:b w:val="0"/>
          <w:bCs/>
          <w:kern w:val="2"/>
          <w:sz w:val="44"/>
          <w:szCs w:val="32"/>
          <w:highlight w:val="none"/>
          <w:lang w:val="en-US" w:eastAsia="zh-CN"/>
        </w:rPr>
        <w:t>19</w:t>
      </w:r>
    </w:p>
    <w:p w14:paraId="2B951359">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FA08BC6">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75C7F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363D370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31B7C220">
            <w:pPr>
              <w:adjustRightInd w:val="0"/>
              <w:snapToGrid w:val="0"/>
              <w:jc w:val="center"/>
              <w:rPr>
                <w:rFonts w:hint="default" w:ascii="仿宋_GB2312" w:hAnsi="仿宋_GB2312" w:eastAsia="仿宋_GB2312" w:cs="仿宋_GB2312"/>
                <w:color w:val="auto"/>
                <w:lang w:val="en-US"/>
              </w:rPr>
            </w:pPr>
            <w:r>
              <w:rPr>
                <w:rFonts w:hint="eastAsia" w:ascii="仿宋_GB2312" w:hAnsi="仿宋_GB2312" w:eastAsia="仿宋_GB2312" w:cs="仿宋_GB2312"/>
                <w:bCs/>
                <w:color w:val="auto"/>
                <w:spacing w:val="6"/>
                <w:szCs w:val="28"/>
                <w:lang w:val="en-US" w:eastAsia="zh-CN"/>
              </w:rPr>
              <w:t>四联创业集团股份有限公司</w:t>
            </w:r>
          </w:p>
        </w:tc>
      </w:tr>
      <w:tr w14:paraId="48925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0B8B3BC">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9C096CE">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私营企业</w:t>
            </w:r>
          </w:p>
        </w:tc>
      </w:tr>
      <w:tr w14:paraId="132BC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1C69DF0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3BF28C60">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北京市房山区燕山东流水工业区7号</w:t>
            </w:r>
          </w:p>
        </w:tc>
      </w:tr>
      <w:tr w14:paraId="2322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1F3DD5BE">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50FA494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四联创业集团股份有限公司（以下简称“四联创业”），注册资本11630万元，民营企业。集团现有员工人数约700人，2025年度实现营收438亿元（含税），年销量537万吨，年运输量达386万吨。</w:t>
            </w:r>
          </w:p>
          <w:p w14:paraId="60C6F491">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 w:val="0"/>
                <w:bCs/>
                <w:color w:val="000000"/>
                <w:spacing w:val="6"/>
                <w:szCs w:val="28"/>
                <w:lang w:val="en-US" w:eastAsia="zh-CN"/>
              </w:rPr>
              <w:t>四联创业成立于2001年，专注橡塑原材料分销服务24年，现已发展为国内领先的橡塑产业链流通服务商。2025年位列中国民营企业500强第362位、中国服务业民营企业100强第79位、北京市民营企业百强第19位，综合实力稳居行业前列。集团拥有2家“专精特新”“国家高新技术”企业，先后获评“第一批全国供应链创新与应用示范企业”、“上海期货交易所交割库”、“上期所‘强源助企’产融服务基地”、“大连商品交易所指定交割仓库”、“大连商品交易所优秀产融基地”等荣誉，是中石化、中石油、国家能源、中煤集团等行业龙头的核心战略合作伙伴。</w:t>
            </w:r>
          </w:p>
        </w:tc>
      </w:tr>
      <w:tr w14:paraId="1FC2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64711D1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6EDA1AB5">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马婉清</w:t>
            </w:r>
          </w:p>
        </w:tc>
        <w:tc>
          <w:tcPr>
            <w:tcW w:w="1073" w:type="dxa"/>
            <w:vAlign w:val="center"/>
          </w:tcPr>
          <w:p w14:paraId="26C2834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03A9BF13">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文化培训主管</w:t>
            </w:r>
          </w:p>
        </w:tc>
      </w:tr>
      <w:tr w14:paraId="6ACD5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24F3BC46">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44682CB1">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13121052748</w:t>
            </w:r>
          </w:p>
        </w:tc>
        <w:tc>
          <w:tcPr>
            <w:tcW w:w="1073" w:type="dxa"/>
            <w:vAlign w:val="center"/>
          </w:tcPr>
          <w:p w14:paraId="5F109793">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2705DB25">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13121052748</w:t>
            </w:r>
          </w:p>
        </w:tc>
      </w:tr>
    </w:tbl>
    <w:p w14:paraId="2A594D47">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6F786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C3193A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21C3F2A">
            <w:pPr>
              <w:adjustRightInd w:val="0"/>
              <w:snapToGrid w:val="0"/>
              <w:jc w:val="both"/>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eastAsia="zh-CN"/>
              </w:rPr>
              <w:t>“稳链护航”提升聚烯烃产业链韧性的金融创新解决方案</w:t>
            </w:r>
          </w:p>
        </w:tc>
      </w:tr>
      <w:tr w14:paraId="3786B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8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BCB284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85812AB">
            <w:pPr>
              <w:adjustRightInd w:val="0"/>
              <w:snapToGrid w:val="0"/>
              <w:ind w:firstLine="504" w:firstLineChars="200"/>
              <w:jc w:val="both"/>
              <w:rPr>
                <w:rFonts w:hint="eastAsia" w:ascii="仿宋_GB2312" w:hAnsi="仿宋_GB2312" w:eastAsia="仿宋_GB2312" w:cs="仿宋_GB2312"/>
                <w:b w:val="0"/>
                <w:color w:val="000000"/>
                <w:lang w:eastAsia="zh-CN"/>
              </w:rPr>
            </w:pPr>
            <w:r>
              <w:rPr>
                <w:rFonts w:hint="eastAsia" w:ascii="仿宋_GB2312" w:hAnsi="仿宋_GB2312" w:eastAsia="仿宋_GB2312" w:cs="仿宋_GB2312"/>
                <w:b w:val="0"/>
                <w:bCs/>
                <w:color w:val="000000"/>
                <w:spacing w:val="6"/>
                <w:szCs w:val="28"/>
                <w:lang w:val="en-US" w:eastAsia="zh-CN"/>
              </w:rPr>
              <w:t>现在金融、</w:t>
            </w:r>
            <w:r>
              <w:rPr>
                <w:rFonts w:hint="eastAsia" w:ascii="仿宋_GB2312" w:hAnsi="仿宋_GB2312" w:eastAsia="仿宋_GB2312" w:cs="仿宋_GB2312"/>
                <w:b w:val="0"/>
                <w:bCs/>
                <w:color w:val="000000"/>
                <w:spacing w:val="6"/>
                <w:szCs w:val="28"/>
              </w:rPr>
              <w:t>新一代信息技术</w:t>
            </w:r>
          </w:p>
        </w:tc>
      </w:tr>
      <w:tr w14:paraId="5B132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744DE1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A3AB4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聚烯烃（如PP、PE）作为最重要的石化原料之一，其价格受原油、供需、宏观政策等多重因素影响，波动剧烈且频繁。产业链上的生产商、贸易商和下游工厂普遍面临“高价恐跌、低价恐涨”的库存价值风险和采购成本失控压力，严重影响了经营稳定性和产业链协同效率。传统期货套保工具专业性要求高，中小企业难以有效使用。</w:t>
            </w:r>
          </w:p>
          <w:p w14:paraId="77299EE8">
            <w:pPr>
              <w:adjustRightInd w:val="0"/>
              <w:snapToGrid w:val="0"/>
              <w:ind w:firstLine="504" w:firstLineChars="200"/>
              <w:jc w:val="both"/>
              <w:rPr>
                <w:rFonts w:hint="eastAsia" w:ascii="仿宋_GB2312" w:hAnsi="仿宋_GB2312" w:eastAsia="仿宋_GB2312" w:cs="仿宋_GB2312"/>
                <w:b w:val="0"/>
                <w:bCs/>
                <w:color w:val="000000"/>
                <w:spacing w:val="6"/>
                <w:szCs w:val="28"/>
                <w:highlight w:val="none"/>
                <w:lang w:val="en-US" w:eastAsia="zh-CN"/>
              </w:rPr>
            </w:pPr>
            <w:r>
              <w:rPr>
                <w:rFonts w:hint="eastAsia" w:ascii="仿宋_GB2312" w:hAnsi="仿宋_GB2312" w:eastAsia="仿宋_GB2312" w:cs="仿宋_GB2312"/>
                <w:b w:val="0"/>
                <w:bCs/>
                <w:color w:val="000000"/>
                <w:spacing w:val="6"/>
                <w:szCs w:val="28"/>
                <w:lang w:val="en-US" w:eastAsia="zh-CN"/>
              </w:rPr>
              <w:t>本题目要求参赛者设计一套以“含权贸易”为核心的综合性金融创新解决方案。该方案旨在将复杂的场外期权思想，转化为易于理解、便于操作的标准化或半标准化现货贸易条款，嵌入至真实的聚烯烃购销合同中（例</w:t>
            </w:r>
            <w:r>
              <w:rPr>
                <w:rFonts w:hint="eastAsia" w:ascii="仿宋_GB2312" w:hAnsi="仿宋_GB2312" w:eastAsia="仿宋_GB2312" w:cs="仿宋_GB2312"/>
                <w:b w:val="0"/>
                <w:bCs/>
                <w:color w:val="000000"/>
                <w:spacing w:val="6"/>
                <w:szCs w:val="28"/>
                <w:highlight w:val="none"/>
                <w:lang w:val="en-US" w:eastAsia="zh-CN"/>
              </w:rPr>
              <w:t>如：保价采购、封顶销售、区间结算等模式）。核心研究内容包括：1）设计一个轻量级的数字化对接平台（如小程序/Web原型）概念，用于展示产品、测算报价、模拟盈亏并辅助交易达成；2）设计针对不同风险场景的标准化含权贸易合约框架。最终，需通过真实或仿真的案例数据，验证该方案在管理价格风险、稳定企业盈利、增强产业链黏性方面的实际效果。</w:t>
            </w:r>
          </w:p>
          <w:p w14:paraId="652BE80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本课题重在商业逻辑设计、产品创新与数字化交互验证，鼓励跨学科团队（金融、计算机、供应链）共同参与。</w:t>
            </w:r>
          </w:p>
        </w:tc>
      </w:tr>
      <w:tr w14:paraId="16E15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6850A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6A8ACD8">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提报形式：提交一份完整的《金融创新解决方案商业设计报告》、数字化平台原型（或高保真交互设计）及相关分析工具。</w:t>
            </w:r>
          </w:p>
          <w:p w14:paraId="6A9C820B">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报告与原型内容：报告应包含产业痛点与市场分析、含权贸易产品详细设计（含制式合约核心条款）、解决方案的商业模式与运营流程、数字化平台的功能架构与用户旅程设计。必须提供基于历史行情或假设场景的完整案例模拟，展示合约如何触发、各方损益计算及风险管理效果。</w:t>
            </w:r>
          </w:p>
          <w:p w14:paraId="5C000B36">
            <w:pPr>
              <w:numPr>
                <w:ilvl w:val="0"/>
                <w:numId w:val="5"/>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关键交付物：</w:t>
            </w:r>
          </w:p>
          <w:p w14:paraId="3FE6C3D9">
            <w:pPr>
              <w:numPr>
                <w:ilvl w:val="0"/>
                <w:numId w:val="0"/>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（1）商业设计报告（核心）；</w:t>
            </w:r>
          </w:p>
          <w:p w14:paraId="3B48AB30">
            <w:pPr>
              <w:numPr>
                <w:ilvl w:val="0"/>
                <w:numId w:val="0"/>
              </w:numPr>
              <w:adjustRightInd w:val="0"/>
              <w:snapToGrid w:val="0"/>
              <w:ind w:firstLine="504" w:firstLineChars="200"/>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（2）数字化平台的可交互原型或详细UI/UX设计稿（需体现产品展示、报价测算、案例模拟等核心功能点）；</w:t>
            </w:r>
          </w:p>
          <w:p w14:paraId="35C705EF">
            <w:pPr>
              <w:numPr>
                <w:ilvl w:val="0"/>
                <w:numId w:val="0"/>
              </w:num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lang w:val="en-US" w:eastAsia="zh-CN"/>
              </w:rPr>
              <w:t>（3）案例模拟的详细数据与损益分析表。</w:t>
            </w:r>
          </w:p>
        </w:tc>
      </w:tr>
      <w:tr w14:paraId="05613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52087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01128DA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CFC695">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创新性与实用性（40分）：解决方案整体的创新性及对产业痛点的针对性；商业模式的可行性与潜在市场价值；数字化平台设计的用户友好度与场景贴合度。</w:t>
            </w:r>
          </w:p>
          <w:p w14:paraId="6ECECEF5">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专业性与完整性（30分）：含权贸易合约设计的逻辑严密性与合规性；案例模拟的数据详实度、论证深度与风险揭示的充分性。</w:t>
            </w:r>
          </w:p>
          <w:p w14:paraId="6F160758">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技术实现与展示度（20分）：数字化平台原型或设计的完整度、交互流畅度及技术实现思路的合理性。</w:t>
            </w:r>
          </w:p>
          <w:p w14:paraId="094523D6">
            <w:pPr>
              <w:numPr>
                <w:ilvl w:val="0"/>
                <w:numId w:val="6"/>
              </w:numPr>
              <w:adjustRightInd w:val="0"/>
              <w:snapToGrid w:val="0"/>
              <w:ind w:firstLine="504" w:firstLineChars="200"/>
              <w:jc w:val="both"/>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lang w:val="en-US" w:eastAsia="zh-CN"/>
              </w:rPr>
              <w:t>报告与陈述（10分）：报告结构清晰，逻辑性强；现场陈述能生动展示方案价值与应用场景。</w:t>
            </w:r>
          </w:p>
        </w:tc>
      </w:tr>
      <w:tr w14:paraId="5253D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4C68511">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51DE0BD">
            <w:pPr>
              <w:overflowPunct w:val="0"/>
              <w:adjustRightInd w:val="0"/>
              <w:snapToGrid w:val="0"/>
              <w:ind w:firstLine="480"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color w:val="000000"/>
                <w:u w:val="none"/>
              </w:rPr>
              <w:t>出题单位可提供丰富的聚烯烃现货贸易真实场景、历史价格数据、以及初步的制式合约框架作为设计参考，并为优秀团队提供与公司贸易、风控部门专家直接交流的机会。</w:t>
            </w:r>
          </w:p>
        </w:tc>
      </w:tr>
    </w:tbl>
    <w:p w14:paraId="1B16D779">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7E28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D994C2E">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3E56C8F">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独家资源支持：提供公司内部使用的标准化贸易合同模板、典型的风险管理案例数据（脱敏）作为研究基础，帮助团队快速理解业务实质。</w:t>
            </w:r>
          </w:p>
          <w:p w14:paraId="57B9D572">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跨界专家指导：组建由公司衍生品服务部、风险管理部、IT部及核心业务部门负责人组成的联合指导组，为参赛团队提供专项辅导，涵盖产品设计、风险合规、技术实现等关键环节。</w:t>
            </w:r>
          </w:p>
          <w:p w14:paraId="06C2BDA3">
            <w:pPr>
              <w:numPr>
                <w:ilvl w:val="0"/>
                <w:numId w:val="7"/>
              </w:num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真实场景验证机会：对于设计出众的解决方案和原型，出题单位可提供模拟业务环境进行测试，并邀请团队参与内部研讨，直面业务一线反馈。</w:t>
            </w:r>
          </w:p>
        </w:tc>
      </w:tr>
      <w:tr w14:paraId="50E1C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5DDFEBF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E8483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71FC03E6">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7A9ABF9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 激励措施</w:t>
            </w:r>
          </w:p>
          <w:p w14:paraId="30C78EE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1.奖金支持：</w:t>
            </w:r>
          </w:p>
          <w:p w14:paraId="668B8C5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本榜题将结合实际获奖情况给予适度奖金奖励。</w:t>
            </w:r>
          </w:p>
          <w:p w14:paraId="0C539EA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2.实习与就业机会：所有获奖团队成员均可优先获得四联创业集团的带薪实习机会。“擂主”团队及金奖团队核心成员，在校招时可获得直通终面资格。</w:t>
            </w:r>
          </w:p>
          <w:p w14:paraId="68D1EE4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3.成果孵化：对具备应用潜力的解决方案进行深度评估，优先考虑与团队开展联合开发、技术转让或设立孵化项目，推动成果向实际业务转化。</w:t>
            </w:r>
          </w:p>
        </w:tc>
      </w:tr>
    </w:tbl>
    <w:p w14:paraId="6FEC8806">
      <w:pPr>
        <w:tabs>
          <w:tab w:val="left" w:pos="8640"/>
        </w:tabs>
        <w:adjustRightInd w:val="0"/>
        <w:snapToGrid w:val="0"/>
        <w:spacing w:line="560" w:lineRule="exact"/>
        <w:rPr>
          <w:rFonts w:hint="eastAsia" w:ascii="方正黑体简体" w:eastAsia="方正黑体简体"/>
          <w:bCs/>
          <w:color w:val="auto"/>
          <w:spacing w:val="6"/>
          <w:sz w:val="32"/>
          <w:szCs w:val="32"/>
          <w:lang w:val="en-US" w:eastAsia="zh-CN"/>
        </w:rPr>
      </w:pPr>
    </w:p>
    <w:p w14:paraId="2E43ED0B">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01CC50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32B1EEE">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9CB430">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本题目是金融创新、产业互联网与供应链管理深度融合的前沿探索。它要求将复杂的风险管理需求进行“产品化”、“场景化”和“数字化”改造，并设计支持其推广应用的轻量化工具原型。研究成果将有助于攻克金融服务实体经济的“最后一公里”难题，为大宗商品领域推广普惠型、体验友好的风险管理工具提供一套可落地的产品范式、合约框架和数字交互参考，对推动产业金融创新具有重要的方法论价值和示范意义。</w:t>
            </w:r>
          </w:p>
        </w:tc>
      </w:tr>
      <w:tr w14:paraId="06313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96B901">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EAE3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本解决方案的成功设计，能直接赋能聚烯烃产业链上的广大中小企业，通过直观易用的数字化工具和标准化合约，提供低成本、易理解的风险管理服务，稳定其生产经营，提升整个产业链的协同效率和抗风险能力（“韧性”）。对于四联创业集团而言，该方案能创新服务模式，增强客户黏性，从传统贸易商升级为综合解决方案服务商，开辟新的价值增长点。从宏观角度看，该创新有助于平抑实体企业因价格巨幅波动引发的非理性经营行为，促进产业链健康稳定发展，是金融服务实体经济、保障供应链安全稳定的生动实践，具有显著的经济价值和社会效益。</w:t>
            </w:r>
          </w:p>
        </w:tc>
      </w:tr>
    </w:tbl>
    <w:p w14:paraId="12CEA6AE">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4638AE73">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767E2C9F">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0</w:t>
      </w:r>
    </w:p>
    <w:p w14:paraId="50AB4D2A">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BD70A43">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17844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4F6676EC">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6A29FC94">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北京未来科学城管理委员会</w:t>
            </w:r>
          </w:p>
        </w:tc>
      </w:tr>
      <w:tr w14:paraId="25BB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2B51C23">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62461172">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rPr>
              <w:t>市级机关</w:t>
            </w:r>
          </w:p>
        </w:tc>
      </w:tr>
      <w:tr w14:paraId="0DD9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66510D55">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265C2337">
            <w:pPr>
              <w:adjustRightInd w:val="0"/>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eastAsia="zh-CN"/>
              </w:rPr>
              <w:t>北京市昌平区北七家镇定泗路</w:t>
            </w:r>
            <w:r>
              <w:rPr>
                <w:rFonts w:hint="eastAsia" w:ascii="仿宋_GB2312" w:hAnsi="仿宋_GB2312" w:eastAsia="仿宋_GB2312" w:cs="仿宋_GB2312"/>
                <w:color w:val="auto"/>
                <w:lang w:val="en-US" w:eastAsia="zh-CN"/>
              </w:rPr>
              <w:t>238号</w:t>
            </w:r>
          </w:p>
        </w:tc>
      </w:tr>
      <w:tr w14:paraId="039E8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18CD919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61ED4C57">
            <w:pPr>
              <w:adjustRightInd w:val="0"/>
              <w:snapToGrid w:val="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未来科学城管委会主要负责组织编制园区建设和发展的各项规划，按程序报批后组织实施；贯彻落实国家及本市有关改革要求，研究提出促进园区创新发展的政策措施，促进国际科技创新中心建设；推进园区管理和服务体制机制创新，优化营商环境，强化服务功能，促进央地合作、校城融合发展；按权限协调做好应急管理、安全生产、环境保护等工作；根据授权在园区规划范围内行使有关市级管理权限。</w:t>
            </w:r>
          </w:p>
        </w:tc>
      </w:tr>
      <w:tr w14:paraId="388B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4B91DB7B">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2E42C035">
            <w:pPr>
              <w:adjustRightInd w:val="0"/>
              <w:snapToGrid w:val="0"/>
              <w:jc w:val="center"/>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郭宁</w:t>
            </w:r>
          </w:p>
        </w:tc>
        <w:tc>
          <w:tcPr>
            <w:tcW w:w="1073" w:type="dxa"/>
            <w:vAlign w:val="center"/>
          </w:tcPr>
          <w:p w14:paraId="5CE90FDB">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43C26CAD">
            <w:pPr>
              <w:adjustRightInd w:val="0"/>
              <w:jc w:val="center"/>
              <w:rPr>
                <w:rFonts w:hint="eastAsia" w:ascii="Times New Roman" w:hAnsi="Times New Roman" w:eastAsia="方正仿宋简体" w:cs="Times New Roman"/>
                <w:color w:val="auto"/>
                <w:lang w:eastAsia="zh-CN"/>
              </w:rPr>
            </w:pPr>
            <w:r>
              <w:rPr>
                <w:rFonts w:hint="eastAsia" w:eastAsia="方正仿宋简体" w:cs="Times New Roman"/>
                <w:color w:val="auto"/>
                <w:lang w:eastAsia="zh-CN"/>
              </w:rPr>
              <w:t>央企服务处处长</w:t>
            </w:r>
          </w:p>
        </w:tc>
      </w:tr>
      <w:tr w14:paraId="7ADD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607CE29E">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1566C45A">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80789805</w:t>
            </w:r>
          </w:p>
        </w:tc>
        <w:tc>
          <w:tcPr>
            <w:tcW w:w="1073" w:type="dxa"/>
            <w:vAlign w:val="center"/>
          </w:tcPr>
          <w:p w14:paraId="2F4943F1">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3F8E9E9B">
            <w:pPr>
              <w:adjustRightInd w:val="0"/>
              <w:jc w:val="center"/>
              <w:rPr>
                <w:rFonts w:hint="eastAsia" w:ascii="Times New Roman" w:hAnsi="Times New Roman" w:eastAsia="方正仿宋简体" w:cs="Times New Roman"/>
                <w:color w:val="auto"/>
              </w:rPr>
            </w:pPr>
          </w:p>
        </w:tc>
      </w:tr>
    </w:tbl>
    <w:p w14:paraId="48C551FB">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0CA9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01DC48D">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22DA26">
            <w:pPr>
              <w:adjustRightInd w:val="0"/>
              <w:snapToGrid w:val="0"/>
              <w:ind w:firstLine="480" w:firstLineChars="200"/>
              <w:jc w:val="both"/>
              <w:rPr>
                <w:rFonts w:hint="default" w:ascii="仿宋_GB2312" w:hAnsi="仿宋_GB2312" w:eastAsia="仿宋_GB2312" w:cs="仿宋_GB2312"/>
                <w:b w:val="0"/>
                <w:color w:val="000000"/>
                <w:lang w:val="en-US" w:eastAsia="zh-CN"/>
              </w:rPr>
            </w:pPr>
            <w:r>
              <w:rPr>
                <w:rFonts w:hint="eastAsia" w:ascii="仿宋_GB2312" w:hAnsi="仿宋_GB2312" w:eastAsia="仿宋_GB2312" w:cs="仿宋_GB2312"/>
                <w:b w:val="0"/>
                <w:color w:val="000000"/>
              </w:rPr>
              <w:t>高校-央企-地方政府三方协同创新推动科技成果转化的机制构建与路径研究</w:t>
            </w:r>
          </w:p>
        </w:tc>
      </w:tr>
      <w:tr w14:paraId="4EF24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A629649">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812E7C1">
            <w:pPr>
              <w:adjustRightInd w:val="0"/>
              <w:snapToGrid w:val="0"/>
              <w:ind w:firstLine="480" w:firstLineChars="200"/>
              <w:jc w:val="both"/>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高等教育、科技创新、产学研合作、社会科学</w:t>
            </w:r>
          </w:p>
        </w:tc>
      </w:tr>
      <w:tr w14:paraId="4880D8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79A6020">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7B7A0C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本选题聚焦于高校、地方政府与中央企业在科技成果转化中的三方协同机制构建问题。当前，我国科技创新体系存在高校成果产出与产业需求脱节、地方政府政策支持与央企应用场景衔接不畅、三方合作缺乏系统化平台与长效机制等问题。题目旨在探索如何以高校为创新源头、地方政府为政策与资源纽带、央企为应用与市场载体，构建高效协同、权责清晰、可持续运行的成果转化生态系统。</w:t>
            </w:r>
          </w:p>
          <w:p w14:paraId="71491F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题目要求参赛团队：</w:t>
            </w:r>
          </w:p>
          <w:p w14:paraId="0FA97A7F">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1. 分析高校、地方政府、央企在科技成果转化中的角色定位、资源优势与合作现状；</w:t>
            </w:r>
          </w:p>
          <w:p w14:paraId="3159E47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2. 识别三方协同中存在的主要障碍与机制短板；</w:t>
            </w:r>
          </w:p>
          <w:p w14:paraId="0853A12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3. 设计具有可操作性的协同模式与实施路径，可涵盖政策联动、平台共建、利益共享、风险共担等机制；</w:t>
            </w:r>
          </w:p>
          <w:p w14:paraId="16D126E9">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4. 结合地区或产业案例进行论证，体现方案的现实适配性与推广价值；</w:t>
            </w:r>
          </w:p>
          <w:p w14:paraId="15028F7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5. 鼓励提出具有创新性的组织模式、评估体系或数字化协同平台构想。</w:t>
            </w:r>
          </w:p>
        </w:tc>
      </w:tr>
      <w:tr w14:paraId="1D108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F16CA3">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E9E88A4">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1. 提交一份完整的研究报告或方案设计书，字数不少于3000字；</w:t>
            </w:r>
          </w:p>
          <w:p w14:paraId="34AA7CE6">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2. 需包含问题分析、机制设计、实施路径、预期成效等部分；</w:t>
            </w:r>
          </w:p>
          <w:p w14:paraId="740BC889">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3. 可附图表、调研数据、案例材料等作为支撑；</w:t>
            </w:r>
          </w:p>
          <w:p w14:paraId="006B3191">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4. 方案应具有现实可操作性，避免纯理论探讨；</w:t>
            </w:r>
          </w:p>
          <w:p w14:paraId="6A0D6F3E">
            <w:pPr>
              <w:adjustRightInd w:val="0"/>
              <w:snapToGrid w:val="0"/>
              <w:ind w:firstLine="480"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5. 提交截止时间以赛事通知为准。</w:t>
            </w:r>
          </w:p>
        </w:tc>
      </w:tr>
      <w:tr w14:paraId="31EAA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5D49E0">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2C6EDAEC">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26414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1. 创新性（30%）：机制设计是否具有新意，是否突破现有合作模式；</w:t>
            </w:r>
          </w:p>
          <w:p w14:paraId="295E530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2. 可行性（30%）：方案是否具备实施条件，是否考虑多方利益平衡；</w:t>
            </w:r>
          </w:p>
          <w:p w14:paraId="506B4DD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3. 实用性（20%）：是否针对真实问题，能否推动实际转化；</w:t>
            </w:r>
          </w:p>
          <w:p w14:paraId="3BE788D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4. 逻辑性与完整性（20%）：结构是否清晰，论证是否充分，材料是否翔实。</w:t>
            </w:r>
          </w:p>
        </w:tc>
      </w:tr>
      <w:tr w14:paraId="41696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BC9FAC">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F3D6B02">
            <w:pPr>
              <w:overflowPunct w:val="0"/>
              <w:adjustRightInd w:val="0"/>
              <w:snapToGrid w:val="0"/>
              <w:ind w:firstLine="480" w:firstLineChars="200"/>
              <w:rPr>
                <w:rFonts w:hint="eastAsia" w:ascii="仿宋_GB2312" w:hAnsi="仿宋_GB2312" w:eastAsia="仿宋_GB2312" w:cs="仿宋_GB2312"/>
                <w:b w:val="0"/>
                <w:bCs/>
                <w:color w:val="000000"/>
                <w:spacing w:val="6"/>
                <w:szCs w:val="28"/>
                <w:lang w:eastAsia="zh-CN"/>
              </w:rPr>
            </w:pPr>
            <w:r>
              <w:rPr>
                <w:rFonts w:hint="eastAsia" w:ascii="仿宋_GB2312" w:hAnsi="仿宋_GB2312" w:eastAsia="仿宋_GB2312" w:cs="仿宋_GB2312"/>
                <w:b w:val="0"/>
                <w:color w:val="000000"/>
                <w:u w:val="none"/>
                <w:lang w:eastAsia="zh-CN"/>
              </w:rPr>
              <w:t>无</w:t>
            </w:r>
          </w:p>
        </w:tc>
      </w:tr>
    </w:tbl>
    <w:p w14:paraId="22F5C988">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626A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97C646">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5BC8834">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1. 为参赛团队提供与相关高校技术转移中心、央企创新部门的调研机会；</w:t>
            </w:r>
          </w:p>
          <w:p w14:paraId="6DB99AE2">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2</w:t>
            </w:r>
            <w:r>
              <w:rPr>
                <w:rFonts w:hint="eastAsia" w:ascii="仿宋_GB2312" w:hAnsi="仿宋_GB2312" w:eastAsia="仿宋_GB2312" w:cs="仿宋_GB2312"/>
                <w:b w:val="0"/>
                <w:bCs/>
                <w:color w:val="000000"/>
                <w:spacing w:val="6"/>
                <w:szCs w:val="28"/>
              </w:rPr>
              <w:t>. 组织参赛团队参加</w:t>
            </w:r>
            <w:r>
              <w:rPr>
                <w:rFonts w:hint="eastAsia" w:ascii="仿宋_GB2312" w:hAnsi="仿宋_GB2312" w:eastAsia="仿宋_GB2312" w:cs="仿宋_GB2312"/>
                <w:b w:val="0"/>
                <w:bCs/>
                <w:color w:val="000000"/>
                <w:spacing w:val="6"/>
                <w:szCs w:val="28"/>
                <w:lang w:eastAsia="zh-CN"/>
              </w:rPr>
              <w:t>央校</w:t>
            </w:r>
            <w:r>
              <w:rPr>
                <w:rFonts w:hint="eastAsia" w:ascii="仿宋_GB2312" w:hAnsi="仿宋_GB2312" w:eastAsia="仿宋_GB2312" w:cs="仿宋_GB2312"/>
                <w:b w:val="0"/>
                <w:bCs/>
                <w:color w:val="000000"/>
                <w:spacing w:val="6"/>
                <w:szCs w:val="28"/>
              </w:rPr>
              <w:t>线上产学研对接交流活动。</w:t>
            </w:r>
          </w:p>
          <w:p w14:paraId="654F43F0">
            <w:pPr>
              <w:adjustRightInd w:val="0"/>
              <w:snapToGrid w:val="0"/>
              <w:ind w:firstLine="504" w:firstLineChars="200"/>
              <w:jc w:val="both"/>
              <w:rPr>
                <w:rFonts w:hint="eastAsia" w:ascii="仿宋_GB2312" w:hAnsi="仿宋_GB2312" w:eastAsia="仿宋_GB2312" w:cs="仿宋_GB2312"/>
                <w:b w:val="0"/>
                <w:bCs/>
                <w:color w:val="000000"/>
                <w:spacing w:val="6"/>
                <w:szCs w:val="28"/>
              </w:rPr>
            </w:pPr>
          </w:p>
        </w:tc>
      </w:tr>
      <w:tr w14:paraId="4C288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60A587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0FE91F">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一、奖项设置</w:t>
            </w:r>
          </w:p>
          <w:p w14:paraId="2E1FEC3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原则上设“擂主”团队1个，根据实际情况评出相应的特等奖、一等奖、二等奖、三等奖项目若干。</w:t>
            </w:r>
          </w:p>
          <w:p w14:paraId="501FAF3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二、 激励措施</w:t>
            </w:r>
          </w:p>
          <w:p w14:paraId="07669F3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eastAsia="zh-CN"/>
              </w:rPr>
              <w:t>对具有较高可行性和应用价值的获奖作品，提供项目孵化支持，协助团队与相关部门、企业对接，推动作品落地实施。</w:t>
            </w:r>
          </w:p>
        </w:tc>
      </w:tr>
    </w:tbl>
    <w:p w14:paraId="171AEE2F">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91A0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6A2D3483">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80263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本课题旨在构建高校、地方政府与央企三方协同的成果转化机制，破解“转化断层”问题，整合研发、政策与产业资源，形成高效转化闭环。该机制将推动关键技术的快速落地与迭代，为中国特色产学研协同创新提供可操作的制度样本，提升国家创新体系整体效能。</w:t>
            </w:r>
          </w:p>
        </w:tc>
      </w:tr>
      <w:tr w14:paraId="09567A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0E725D">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8263D">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成果将形成可复制的协同转化模式，提升成果转化与产业适配效率，助力地方产业升级与集群发展。通过打通人才、技术、资本等要素通道，可激发区域创新活力，促进高质量就业与创业，并为政府优化创新治理提供决策参考，实现经济与社会效益双提升</w:t>
            </w:r>
            <w:bookmarkStart w:id="5" w:name="_GoBack"/>
            <w:bookmarkEnd w:id="5"/>
            <w:r>
              <w:rPr>
                <w:rFonts w:hint="eastAsia" w:ascii="仿宋_GB2312" w:hAnsi="仿宋_GB2312" w:eastAsia="仿宋_GB2312" w:cs="仿宋_GB2312"/>
                <w:b w:val="0"/>
                <w:bCs/>
                <w:color w:val="000000"/>
                <w:spacing w:val="6"/>
                <w:szCs w:val="28"/>
                <w:u w:val="none"/>
              </w:rPr>
              <w:t>。</w:t>
            </w:r>
          </w:p>
        </w:tc>
      </w:tr>
    </w:tbl>
    <w:p w14:paraId="06FAA350">
      <w:pPr>
        <w:rPr>
          <w:rFonts w:hint="eastAsia" w:ascii="楷体_GB2312" w:hAnsi="楷体_GB2312" w:eastAsia="楷体_GB2312" w:cs="楷体_GB2312"/>
          <w:color w:val="auto"/>
        </w:rPr>
      </w:pPr>
      <w:r>
        <w:rPr>
          <w:rFonts w:hint="eastAsia" w:ascii="楷体_GB2312" w:hAnsi="楷体_GB2312" w:eastAsia="楷体_GB2312" w:cs="楷体_GB2312"/>
          <w:color w:val="auto"/>
        </w:rPr>
        <w:br w:type="page"/>
      </w:r>
    </w:p>
    <w:p w14:paraId="3D69E214">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0B4CE88D">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1</w:t>
      </w:r>
    </w:p>
    <w:p w14:paraId="42FD6FE2">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F7A9D03">
      <w:pPr>
        <w:tabs>
          <w:tab w:val="left" w:pos="8640"/>
        </w:tabs>
        <w:adjustRightInd w:val="0"/>
        <w:snapToGrid w:val="0"/>
        <w:spacing w:line="560" w:lineRule="exact"/>
        <w:ind w:firstLine="332"/>
        <w:rPr>
          <w:rFonts w:hint="eastAsia" w:ascii="方正楷体简体" w:hAnsi="方正楷体简体" w:eastAsia="方正楷体简体" w:cs="方正楷体简体"/>
          <w:bCs/>
          <w:spacing w:val="6"/>
        </w:rPr>
      </w:pPr>
      <w:r>
        <w:rPr>
          <w:rFonts w:hint="eastAsia" w:ascii="方正黑体简体" w:eastAsia="方正黑体简体"/>
          <w:bCs/>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0B1A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CFDC3FF">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单位名称</w:t>
            </w:r>
          </w:p>
        </w:tc>
        <w:tc>
          <w:tcPr>
            <w:tcW w:w="6932" w:type="dxa"/>
            <w:gridSpan w:val="3"/>
            <w:vAlign w:val="center"/>
          </w:tcPr>
          <w:p w14:paraId="4F39D8F8">
            <w:pPr>
              <w:adjustRightInd w:val="0"/>
              <w:snapToGrid w:val="0"/>
              <w:ind w:firstLine="252"/>
              <w:jc w:val="center"/>
              <w:rPr>
                <w:rFonts w:hint="eastAsia" w:ascii="仿宋_GB2312" w:hAnsi="仿宋_GB2312" w:eastAsia="仿宋_GB2312" w:cs="仿宋_GB2312"/>
              </w:rPr>
            </w:pPr>
            <w:r>
              <w:rPr>
                <w:rFonts w:ascii="仿宋_GB2312" w:hAnsi="仿宋_GB2312" w:eastAsia="仿宋_GB2312" w:cs="仿宋_GB2312"/>
                <w:bCs/>
                <w:spacing w:val="6"/>
                <w:szCs w:val="28"/>
                <w:lang w:val="en-US"/>
              </w:rPr>
              <w:t>北京市昌平区发明协会</w:t>
            </w:r>
          </w:p>
        </w:tc>
      </w:tr>
      <w:tr w14:paraId="18AD5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1846DE4A">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单位类型</w:t>
            </w:r>
          </w:p>
        </w:tc>
        <w:tc>
          <w:tcPr>
            <w:tcW w:w="6932" w:type="dxa"/>
            <w:gridSpan w:val="3"/>
            <w:vAlign w:val="center"/>
          </w:tcPr>
          <w:p w14:paraId="67B4E1CB">
            <w:pPr>
              <w:adjustRightInd w:val="0"/>
              <w:snapToGrid w:val="0"/>
              <w:ind w:firstLine="252"/>
              <w:jc w:val="center"/>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非营利性社团组织</w:t>
            </w:r>
          </w:p>
        </w:tc>
      </w:tr>
      <w:tr w14:paraId="63A6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0E759A07">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地址</w:t>
            </w:r>
          </w:p>
        </w:tc>
        <w:tc>
          <w:tcPr>
            <w:tcW w:w="6932" w:type="dxa"/>
            <w:gridSpan w:val="3"/>
            <w:vAlign w:val="center"/>
          </w:tcPr>
          <w:p w14:paraId="45E27DE3">
            <w:pPr>
              <w:adjustRightInd w:val="0"/>
              <w:ind w:firstLine="240"/>
              <w:jc w:val="center"/>
              <w:rPr>
                <w:rFonts w:hint="eastAsia" w:ascii="仿宋_GB2312" w:hAnsi="仿宋_GB2312" w:eastAsia="仿宋_GB2312" w:cs="仿宋_GB2312"/>
              </w:rPr>
            </w:pPr>
            <w:r>
              <w:rPr>
                <w:rFonts w:ascii="仿宋_GB2312" w:hAnsi="仿宋_GB2312" w:eastAsia="仿宋_GB2312" w:cs="仿宋_GB2312"/>
              </w:rPr>
              <w:t>北京市昌平区府学路科技中心大楼西南二层</w:t>
            </w:r>
          </w:p>
        </w:tc>
      </w:tr>
      <w:tr w14:paraId="2C38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35FD6433">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lang w:val="en-US"/>
              </w:rPr>
              <w:t>单位</w:t>
            </w:r>
            <w:r>
              <w:rPr>
                <w:rFonts w:hint="eastAsia" w:ascii="楷体_GB2312" w:hAnsi="楷体_GB2312" w:eastAsia="楷体_GB2312" w:cs="楷体_GB2312"/>
                <w:sz w:val="28"/>
                <w:szCs w:val="32"/>
              </w:rPr>
              <w:t>简介</w:t>
            </w:r>
          </w:p>
        </w:tc>
        <w:tc>
          <w:tcPr>
            <w:tcW w:w="6932" w:type="dxa"/>
            <w:gridSpan w:val="3"/>
            <w:vAlign w:val="center"/>
          </w:tcPr>
          <w:p w14:paraId="243286A3">
            <w:pPr>
              <w:adjustRightInd w:val="0"/>
              <w:snapToGrid w:val="0"/>
              <w:ind w:firstLine="504" w:firstLineChars="200"/>
              <w:jc w:val="both"/>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北京市昌平区发明协会是在昌平区科学技术协会指导下，经昌平区民政局核准登记成立的非营利性社会团体。协会立足区域科技创新发展，紧密围绕昌平区作为北京国际科技创新中心重要承载区的战略定位，汇聚区内高校、科研院所、高新技术企业及广大发明人的智慧与力量，致力于激发全社会创新活力，服务发明成果转化，为昌平区构建高精尖产业结构、建设科教引领型区域提供坚实支撑。</w:t>
            </w:r>
          </w:p>
          <w:p w14:paraId="379EA5C6">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协会核心宗旨与职能：</w:t>
            </w:r>
          </w:p>
          <w:p w14:paraId="2E510589">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倡导创新文化：弘扬科学精神与工匠精神，普及发明创造知识，营造尊重知识、崇尚创新、保护产权的良好社会氛围。</w:t>
            </w:r>
          </w:p>
          <w:p w14:paraId="513AFBE6">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服务发明人才：搭建发明人交流合作平台，提供知识产权咨询、专利申请导航、技术交易对接、法律维权援助等专业化服务，助力会员成长与发展。</w:t>
            </w:r>
          </w:p>
          <w:p w14:paraId="1A1B66E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促进成果转化：紧密对接市场需求与产业资源，组织开展项目推介、产学研合作、投融资洽谈等活动，加速优秀发明成果的产业化与应用推广。</w:t>
            </w:r>
          </w:p>
          <w:p w14:paraId="6B143AA8">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承接政府服务：积极承担政府转移职能与委托项目，参与区域创新政策研究、科技评价、人才举荐等工作，发挥桥梁纽带作用。</w:t>
            </w:r>
          </w:p>
          <w:p w14:paraId="6AD42CD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开展交流合作：组织国内外技术考察、学术研讨、创新竞赛及展览展示活动，拓宽会员视野，促进跨区域、跨领域的协同创新。</w:t>
            </w:r>
          </w:p>
          <w:p w14:paraId="17F4A1AA">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服务对象与合作伙伴：</w:t>
            </w:r>
          </w:p>
          <w:p w14:paraId="1EEABF4A">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协会面向全区企业科技研发人员、高校师生、科研工作者、中小学科技教师、职业发明人及创新团队，并与政府部门、产业园区、孵化器、金融机构、知识产权服务机构及媒体建立广泛合作关系，共同构建充满活力的区域创新生态。</w:t>
            </w:r>
          </w:p>
          <w:p w14:paraId="15D0BD43">
            <w:pPr>
              <w:adjustRightInd w:val="0"/>
              <w:snapToGrid w:val="0"/>
              <w:ind w:firstLine="506" w:firstLineChars="200"/>
              <w:jc w:val="both"/>
              <w:rPr>
                <w:rFonts w:hint="eastAsia" w:ascii="仿宋_GB2312" w:hAnsi="仿宋_GB2312" w:eastAsia="仿宋_GB2312" w:cs="仿宋_GB2312"/>
                <w:b/>
                <w:spacing w:val="6"/>
                <w:szCs w:val="28"/>
              </w:rPr>
            </w:pPr>
            <w:r>
              <w:rPr>
                <w:rFonts w:hint="eastAsia" w:ascii="仿宋_GB2312" w:hAnsi="仿宋_GB2312" w:eastAsia="仿宋_GB2312" w:cs="仿宋_GB2312"/>
                <w:b/>
                <w:spacing w:val="6"/>
                <w:szCs w:val="28"/>
              </w:rPr>
              <w:t>特色与优势：</w:t>
            </w:r>
          </w:p>
          <w:p w14:paraId="362ED3F7">
            <w:pPr>
              <w:adjustRightInd w:val="0"/>
              <w:snapToGrid w:val="0"/>
              <w:ind w:firstLine="504" w:firstLineChars="200"/>
              <w:jc w:val="both"/>
              <w:rPr>
                <w:rFonts w:hint="eastAsia" w:ascii="仿宋_GB2312" w:hAnsi="仿宋_GB2312" w:eastAsia="仿宋_GB2312" w:cs="仿宋_GB2312"/>
                <w:bCs/>
                <w:spacing w:val="6"/>
                <w:szCs w:val="28"/>
              </w:rPr>
            </w:pPr>
            <w:r>
              <w:rPr>
                <w:rFonts w:hint="eastAsia" w:ascii="仿宋_GB2312" w:hAnsi="仿宋_GB2312" w:eastAsia="仿宋_GB2312" w:cs="仿宋_GB2312"/>
                <w:bCs/>
                <w:spacing w:val="6"/>
                <w:szCs w:val="28"/>
              </w:rPr>
              <w:t>依托昌平区丰富的教育科技资源（如未来科学城、中关村昌平园、沙河高教园区等），协会具有独特的区位与资源优势，能够有效链接“政产学研金介用”各方要素，为会员提供精准、务实、高效的“一站式”创新服务。</w:t>
            </w:r>
          </w:p>
        </w:tc>
      </w:tr>
      <w:tr w14:paraId="6977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5CED79AF">
            <w:pPr>
              <w:adjustRightInd w:val="0"/>
              <w:snapToGrid w:val="0"/>
              <w:jc w:val="center"/>
              <w:rPr>
                <w:rFonts w:hint="eastAsia" w:ascii="楷体_GB2312" w:hAnsi="楷体_GB2312" w:eastAsia="楷体_GB2312" w:cs="楷体_GB2312"/>
                <w:bCs/>
                <w:spacing w:val="6"/>
                <w:szCs w:val="28"/>
              </w:rPr>
            </w:pPr>
            <w:r>
              <w:rPr>
                <w:rFonts w:hint="eastAsia" w:ascii="楷体_GB2312" w:hAnsi="楷体_GB2312" w:eastAsia="楷体_GB2312" w:cs="楷体_GB2312"/>
                <w:sz w:val="28"/>
                <w:szCs w:val="32"/>
                <w:lang w:val="en-US"/>
              </w:rPr>
              <w:t>联系人</w:t>
            </w:r>
          </w:p>
        </w:tc>
        <w:tc>
          <w:tcPr>
            <w:tcW w:w="3076" w:type="dxa"/>
            <w:vAlign w:val="center"/>
          </w:tcPr>
          <w:p w14:paraId="411F979C">
            <w:pPr>
              <w:adjustRightInd w:val="0"/>
              <w:snapToGrid w:val="0"/>
              <w:jc w:val="center"/>
              <w:rPr>
                <w:rFonts w:hint="eastAsia" w:ascii="仿宋_GB2312" w:hAnsi="仿宋_GB2312" w:eastAsia="仿宋_GB2312" w:cs="仿宋_GB2312"/>
                <w:bCs/>
                <w:spacing w:val="6"/>
                <w:szCs w:val="28"/>
                <w:lang w:val="en-US"/>
              </w:rPr>
            </w:pPr>
            <w:r>
              <w:rPr>
                <w:rFonts w:ascii="仿宋_GB2312" w:hAnsi="仿宋_GB2312" w:eastAsia="仿宋_GB2312" w:cs="仿宋_GB2312"/>
                <w:bCs/>
                <w:spacing w:val="6"/>
                <w:szCs w:val="28"/>
                <w:lang w:val="en-US"/>
              </w:rPr>
              <w:t>赵展芸</w:t>
            </w:r>
          </w:p>
        </w:tc>
        <w:tc>
          <w:tcPr>
            <w:tcW w:w="1073" w:type="dxa"/>
            <w:vAlign w:val="center"/>
          </w:tcPr>
          <w:p w14:paraId="00526ABD">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职务</w:t>
            </w:r>
          </w:p>
        </w:tc>
        <w:tc>
          <w:tcPr>
            <w:tcW w:w="2783" w:type="dxa"/>
            <w:vAlign w:val="center"/>
          </w:tcPr>
          <w:p w14:paraId="498D8924">
            <w:pPr>
              <w:adjustRightInd w:val="0"/>
              <w:snapToGrid w:val="0"/>
              <w:jc w:val="center"/>
              <w:rPr>
                <w:rFonts w:eastAsia="方正仿宋简体"/>
              </w:rPr>
            </w:pPr>
            <w:r>
              <w:rPr>
                <w:rFonts w:hint="eastAsia" w:ascii="仿宋_GB2312" w:hAnsi="仿宋_GB2312" w:eastAsia="仿宋_GB2312" w:cs="仿宋_GB2312"/>
                <w:bCs/>
                <w:spacing w:val="6"/>
                <w:szCs w:val="28"/>
                <w:lang w:val="en-US"/>
              </w:rPr>
              <w:t>负责人</w:t>
            </w:r>
          </w:p>
        </w:tc>
      </w:tr>
      <w:tr w14:paraId="0581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406C35AF">
            <w:pPr>
              <w:adjustRightInd w:val="0"/>
              <w:snapToGrid w:val="0"/>
              <w:jc w:val="center"/>
              <w:rPr>
                <w:rFonts w:hint="eastAsia" w:ascii="楷体_GB2312" w:hAnsi="楷体_GB2312" w:eastAsia="楷体_GB2312" w:cs="楷体_GB2312"/>
                <w:bCs/>
                <w:spacing w:val="6"/>
                <w:szCs w:val="28"/>
                <w:lang w:val="en-US"/>
              </w:rPr>
            </w:pPr>
            <w:r>
              <w:rPr>
                <w:rFonts w:hint="eastAsia" w:ascii="楷体_GB2312" w:hAnsi="楷体_GB2312" w:eastAsia="楷体_GB2312" w:cs="楷体_GB2312"/>
                <w:sz w:val="28"/>
                <w:szCs w:val="32"/>
                <w:lang w:val="en-US"/>
              </w:rPr>
              <w:t>联系方式</w:t>
            </w:r>
          </w:p>
        </w:tc>
        <w:tc>
          <w:tcPr>
            <w:tcW w:w="3076" w:type="dxa"/>
            <w:vAlign w:val="center"/>
          </w:tcPr>
          <w:p w14:paraId="008121C1">
            <w:pPr>
              <w:adjustRightInd w:val="0"/>
              <w:snapToGrid w:val="0"/>
              <w:jc w:val="center"/>
              <w:rPr>
                <w:rFonts w:hint="eastAsia" w:ascii="仿宋_GB2312" w:hAnsi="仿宋_GB2312" w:eastAsia="仿宋_GB2312" w:cs="仿宋_GB2312"/>
                <w:bCs/>
                <w:spacing w:val="6"/>
                <w:szCs w:val="28"/>
                <w:lang w:val="en-US"/>
              </w:rPr>
            </w:pPr>
            <w:r>
              <w:rPr>
                <w:rFonts w:hint="eastAsia" w:ascii="仿宋_GB2312" w:hAnsi="仿宋_GB2312" w:eastAsia="仿宋_GB2312" w:cs="仿宋_GB2312"/>
                <w:bCs/>
                <w:spacing w:val="6"/>
                <w:szCs w:val="28"/>
                <w:lang w:val="en-US"/>
              </w:rPr>
              <w:t>13811273387</w:t>
            </w:r>
          </w:p>
        </w:tc>
        <w:tc>
          <w:tcPr>
            <w:tcW w:w="1073" w:type="dxa"/>
            <w:vAlign w:val="center"/>
          </w:tcPr>
          <w:p w14:paraId="037FC430">
            <w:pPr>
              <w:adjustRightInd w:val="0"/>
              <w:spacing w:line="560" w:lineRule="exact"/>
              <w:jc w:val="center"/>
              <w:rPr>
                <w:rFonts w:hint="eastAsia" w:ascii="楷体_GB2312" w:hAnsi="楷体_GB2312" w:eastAsia="楷体_GB2312" w:cs="楷体_GB2312"/>
                <w:sz w:val="28"/>
                <w:szCs w:val="32"/>
              </w:rPr>
            </w:pPr>
            <w:r>
              <w:rPr>
                <w:rFonts w:hint="eastAsia" w:ascii="楷体_GB2312" w:hAnsi="楷体_GB2312" w:eastAsia="楷体_GB2312" w:cs="楷体_GB2312"/>
                <w:sz w:val="28"/>
                <w:szCs w:val="32"/>
              </w:rPr>
              <w:t>微信</w:t>
            </w:r>
          </w:p>
        </w:tc>
        <w:tc>
          <w:tcPr>
            <w:tcW w:w="2783" w:type="dxa"/>
            <w:vAlign w:val="center"/>
          </w:tcPr>
          <w:p w14:paraId="63A94119">
            <w:pPr>
              <w:adjustRightInd w:val="0"/>
              <w:ind w:firstLine="240"/>
              <w:jc w:val="center"/>
              <w:rPr>
                <w:rFonts w:eastAsia="方正仿宋简体"/>
              </w:rPr>
            </w:pPr>
          </w:p>
        </w:tc>
      </w:tr>
    </w:tbl>
    <w:p w14:paraId="15A934E8">
      <w:pPr>
        <w:tabs>
          <w:tab w:val="left" w:pos="8640"/>
        </w:tabs>
        <w:adjustRightInd w:val="0"/>
        <w:snapToGrid w:val="0"/>
        <w:spacing w:line="560" w:lineRule="exact"/>
        <w:ind w:firstLine="332"/>
        <w:rPr>
          <w:rFonts w:ascii="方正黑体简体" w:eastAsia="方正黑体简体"/>
          <w:bCs/>
          <w:spacing w:val="6"/>
          <w:sz w:val="32"/>
          <w:szCs w:val="32"/>
        </w:rPr>
      </w:pPr>
      <w:r>
        <w:rPr>
          <w:rFonts w:hint="eastAsia" w:ascii="方正黑体简体" w:eastAsia="方正黑体简体"/>
          <w:bCs/>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187B7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76462C">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选题</w:t>
            </w:r>
            <w:r>
              <w:rPr>
                <w:rFonts w:hint="eastAsia" w:ascii="楷体_GB2312" w:hAnsi="楷体_GB2312" w:eastAsia="楷体_GB2312" w:cs="楷体_GB2312"/>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4F86E5D">
            <w:pPr>
              <w:adjustRightInd w:val="0"/>
              <w:snapToGrid w:val="0"/>
              <w:ind w:firstLine="504" w:firstLineChars="200"/>
              <w:jc w:val="both"/>
              <w:rPr>
                <w:rFonts w:hint="eastAsia" w:ascii="仿宋_GB2312" w:hAnsi="仿宋_GB2312" w:eastAsia="仿宋_GB2312" w:cs="仿宋_GB2312"/>
                <w:color w:val="000000"/>
              </w:rPr>
            </w:pPr>
            <w:r>
              <w:rPr>
                <w:rFonts w:ascii="仿宋_GB2312" w:hAnsi="仿宋_GB2312" w:eastAsia="仿宋_GB2312" w:cs="仿宋_GB2312"/>
                <w:bCs/>
                <w:color w:val="000000"/>
                <w:spacing w:val="6"/>
                <w:szCs w:val="28"/>
              </w:rPr>
              <w:t>智能化电网故障检测系统设计</w:t>
            </w:r>
          </w:p>
        </w:tc>
      </w:tr>
      <w:tr w14:paraId="05311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FBCAAE">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BEEA10F">
            <w:pPr>
              <w:adjustRightInd w:val="0"/>
              <w:snapToGrid w:val="0"/>
              <w:ind w:firstLine="504" w:firstLineChars="200"/>
              <w:jc w:val="both"/>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新一代信息技术、</w:t>
            </w:r>
            <w:r>
              <w:rPr>
                <w:rFonts w:ascii="仿宋_GB2312" w:hAnsi="仿宋_GB2312" w:eastAsia="仿宋_GB2312" w:cs="仿宋_GB2312"/>
                <w:bCs/>
                <w:color w:val="000000"/>
                <w:spacing w:val="6"/>
                <w:szCs w:val="28"/>
              </w:rPr>
              <w:t>人工智能</w:t>
            </w:r>
          </w:p>
        </w:tc>
      </w:tr>
      <w:tr w14:paraId="3C1D1A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94E002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53C19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 选题背景</w:t>
            </w:r>
          </w:p>
          <w:p w14:paraId="6437A52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随着新型电力系统的快速建设和新能源的大规模接入，电网结构日益复杂，运行方式灵活多变。传统故障检测方法在应对高比例可再生能源、分布式电源、交直流混联等新型电网形态时，面临检测速度慢、准确率低、适应性差等挑战。近年来，人工智能、大数据、物联网等技术的成熟为电网故障智能化检测提供了新的技术路径。本项目旨在通过“揭榜挂帅”机制，征集创新性强、实用性高的智能化电网故障检测系统设计方案，突破技术瓶颈，提升电网安全稳定运行水平。</w:t>
            </w:r>
          </w:p>
          <w:p w14:paraId="7F98605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需求分析</w:t>
            </w:r>
          </w:p>
          <w:p w14:paraId="13B4451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快速精准检测需求：需在毫秒级时间内完成故障识别、定位与分类，减少停电时间和范围</w:t>
            </w:r>
          </w:p>
          <w:p w14:paraId="0B60A79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复杂场景适应性需求：能够适应新能源波动、负荷突变、谐波干扰等多种复杂运行场景</w:t>
            </w:r>
          </w:p>
          <w:p w14:paraId="24CCA4D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超前预警需求：实现故障萌芽状态的早期识别与预警，变被动处置为主动防御</w:t>
            </w:r>
          </w:p>
          <w:p w14:paraId="073D7CE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资源高效利用需求：降低对硬件设备的过度依赖，充分利用现有量测装置和数据资源</w:t>
            </w:r>
          </w:p>
          <w:p w14:paraId="6F821CE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运维智能化需求：提供故障原因分析、处置建议等决策支持，提升运维效率</w:t>
            </w:r>
          </w:p>
          <w:p w14:paraId="08AC46CB">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应用场景</w:t>
            </w:r>
          </w:p>
          <w:p w14:paraId="542494D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省级及以上调度控制中心的电网实时监控与故障分析</w:t>
            </w:r>
          </w:p>
          <w:p w14:paraId="4D5FB47A">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配电自动化系统的故障定位与隔离</w:t>
            </w:r>
          </w:p>
          <w:p w14:paraId="46B358D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新能源场站并网点故障检测与保护</w:t>
            </w:r>
          </w:p>
          <w:p w14:paraId="6B07926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城市配电网、工业园区等关键区域的供电可靠性提升</w:t>
            </w:r>
          </w:p>
          <w:p w14:paraId="4B4EA15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电网设备状态评估与预测性维护</w:t>
            </w:r>
          </w:p>
        </w:tc>
      </w:tr>
      <w:tr w14:paraId="6E43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4A55924">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71625A3">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设计内容要求</w:t>
            </w:r>
          </w:p>
          <w:p w14:paraId="17AEAD1E">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提出完整的系统架构设计，包括数据采集层、通信层、平台层和应用层</w:t>
            </w:r>
          </w:p>
          <w:p w14:paraId="202F01D5">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设计至少</w:t>
            </w:r>
            <w:r>
              <w:rPr>
                <w:rFonts w:ascii="仿宋_GB2312" w:hAnsi="仿宋_GB2312" w:eastAsia="仿宋_GB2312" w:cs="仿宋_GB2312"/>
                <w:bCs/>
                <w:color w:val="000000"/>
                <w:spacing w:val="6"/>
                <w:szCs w:val="28"/>
              </w:rPr>
              <w:t>3</w:t>
            </w:r>
            <w:r>
              <w:rPr>
                <w:rFonts w:hint="eastAsia" w:ascii="仿宋_GB2312" w:hAnsi="仿宋_GB2312" w:eastAsia="仿宋_GB2312" w:cs="仿宋_GB2312"/>
                <w:bCs/>
                <w:color w:val="000000"/>
                <w:spacing w:val="6"/>
                <w:szCs w:val="28"/>
              </w:rPr>
              <w:t>种创新的故障检测算法或模型（如基于深度学习的暂态信号识别、图神经网络的拓扑关联分析等）</w:t>
            </w:r>
          </w:p>
          <w:p w14:paraId="530B604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包含系统与现有调度自动化系统（如</w:t>
            </w:r>
            <w:r>
              <w:rPr>
                <w:rFonts w:ascii="仿宋_GB2312" w:hAnsi="仿宋_GB2312" w:eastAsia="仿宋_GB2312" w:cs="仿宋_GB2312"/>
                <w:bCs/>
                <w:color w:val="000000"/>
                <w:spacing w:val="6"/>
                <w:szCs w:val="28"/>
              </w:rPr>
              <w:t>SCADA</w:t>
            </w:r>
            <w:r>
              <w:rPr>
                <w:rFonts w:hint="eastAsia" w:ascii="仿宋_GB2312" w:hAnsi="仿宋_GB2312" w:eastAsia="仿宋_GB2312" w:cs="仿宋_GB2312"/>
                <w:bCs/>
                <w:color w:val="000000"/>
                <w:spacing w:val="6"/>
                <w:szCs w:val="28"/>
              </w:rPr>
              <w:t>、</w:t>
            </w:r>
            <w:r>
              <w:rPr>
                <w:rFonts w:ascii="仿宋_GB2312" w:hAnsi="仿宋_GB2312" w:eastAsia="仿宋_GB2312" w:cs="仿宋_GB2312"/>
                <w:bCs/>
                <w:color w:val="000000"/>
                <w:spacing w:val="6"/>
                <w:szCs w:val="28"/>
              </w:rPr>
              <w:t>WAMS</w:t>
            </w:r>
            <w:r>
              <w:rPr>
                <w:rFonts w:hint="eastAsia" w:ascii="仿宋_GB2312" w:hAnsi="仿宋_GB2312" w:eastAsia="仿宋_GB2312" w:cs="仿宋_GB2312"/>
                <w:bCs/>
                <w:color w:val="000000"/>
                <w:spacing w:val="6"/>
                <w:szCs w:val="28"/>
              </w:rPr>
              <w:t>）的集成方案</w:t>
            </w:r>
          </w:p>
          <w:p w14:paraId="06DECB11">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提供系统部署实施方案及硬件配置建议</w:t>
            </w:r>
          </w:p>
          <w:p w14:paraId="081E269F">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提交形式</w:t>
            </w:r>
          </w:p>
          <w:p w14:paraId="07BC4FFF">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技术方案报告：</w:t>
            </w:r>
            <w:r>
              <w:rPr>
                <w:rFonts w:ascii="仿宋_GB2312" w:hAnsi="仿宋_GB2312" w:eastAsia="仿宋_GB2312" w:cs="仿宋_GB2312"/>
                <w:bCs/>
                <w:color w:val="000000"/>
                <w:spacing w:val="6"/>
                <w:szCs w:val="28"/>
              </w:rPr>
              <w:t>PDF</w:t>
            </w:r>
            <w:r>
              <w:rPr>
                <w:rFonts w:hint="eastAsia" w:ascii="仿宋_GB2312" w:hAnsi="仿宋_GB2312" w:eastAsia="仿宋_GB2312" w:cs="仿宋_GB2312"/>
                <w:bCs/>
                <w:color w:val="000000"/>
                <w:spacing w:val="6"/>
                <w:szCs w:val="28"/>
              </w:rPr>
              <w:t>格式，不少于</w:t>
            </w:r>
            <w:r>
              <w:rPr>
                <w:rFonts w:ascii="仿宋_GB2312" w:hAnsi="仿宋_GB2312" w:eastAsia="仿宋_GB2312" w:cs="仿宋_GB2312"/>
                <w:bCs/>
                <w:color w:val="000000"/>
                <w:spacing w:val="6"/>
                <w:szCs w:val="28"/>
              </w:rPr>
              <w:t>50</w:t>
            </w:r>
            <w:r>
              <w:rPr>
                <w:rFonts w:hint="eastAsia" w:ascii="仿宋_GB2312" w:hAnsi="仿宋_GB2312" w:eastAsia="仿宋_GB2312" w:cs="仿宋_GB2312"/>
                <w:bCs/>
                <w:color w:val="000000"/>
                <w:spacing w:val="6"/>
                <w:szCs w:val="28"/>
              </w:rPr>
              <w:t>页，包含完整设计方案、技术路线、创新点、实施计划等</w:t>
            </w:r>
          </w:p>
          <w:p w14:paraId="15E38E6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算法仿真验证：提供</w:t>
            </w:r>
            <w:r>
              <w:rPr>
                <w:rFonts w:ascii="仿宋_GB2312" w:hAnsi="仿宋_GB2312" w:eastAsia="仿宋_GB2312" w:cs="仿宋_GB2312"/>
                <w:bCs/>
                <w:color w:val="000000"/>
                <w:spacing w:val="6"/>
                <w:szCs w:val="28"/>
              </w:rPr>
              <w:t>MATLAB/Python</w:t>
            </w:r>
            <w:r>
              <w:rPr>
                <w:rFonts w:hint="eastAsia" w:ascii="仿宋_GB2312" w:hAnsi="仿宋_GB2312" w:eastAsia="仿宋_GB2312" w:cs="仿宋_GB2312"/>
                <w:bCs/>
                <w:color w:val="000000"/>
                <w:spacing w:val="6"/>
                <w:szCs w:val="28"/>
              </w:rPr>
              <w:t>仿真代码及测试数据集，展示核心算法性能</w:t>
            </w:r>
          </w:p>
          <w:p w14:paraId="65868CAB">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系统原型演示（可选加分项）：可运行的软件原型或仿真平台演示视频（</w:t>
            </w:r>
            <w:r>
              <w:rPr>
                <w:rFonts w:ascii="仿宋_GB2312" w:hAnsi="仿宋_GB2312" w:eastAsia="仿宋_GB2312" w:cs="仿宋_GB2312"/>
                <w:bCs/>
                <w:color w:val="000000"/>
                <w:spacing w:val="6"/>
                <w:szCs w:val="28"/>
              </w:rPr>
              <w:t>10</w:t>
            </w:r>
            <w:r>
              <w:rPr>
                <w:rFonts w:hint="eastAsia" w:ascii="仿宋_GB2312" w:hAnsi="仿宋_GB2312" w:eastAsia="仿宋_GB2312" w:cs="仿宋_GB2312"/>
                <w:bCs/>
                <w:color w:val="000000"/>
                <w:spacing w:val="6"/>
                <w:szCs w:val="28"/>
              </w:rPr>
              <w:t>分钟内）</w:t>
            </w:r>
          </w:p>
          <w:p w14:paraId="2F7D6064">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知识产权分析报告：相关技术专利检索与分析</w:t>
            </w:r>
          </w:p>
          <w:p w14:paraId="0F38E1D0">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时间要求</w:t>
            </w:r>
          </w:p>
          <w:p w14:paraId="5C34F79D">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以竞赛组委会赛程安排为准</w:t>
            </w:r>
          </w:p>
          <w:p w14:paraId="770C3B0B">
            <w:pPr>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其他要求</w:t>
            </w:r>
          </w:p>
          <w:p w14:paraId="2B41FC40">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方案需具备自主知识产权，不侵犯第三方权益</w:t>
            </w:r>
          </w:p>
          <w:p w14:paraId="74D8DB10">
            <w:pPr>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鼓励跨学科团队合作，优先考虑“产</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学</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研</w:t>
            </w:r>
            <w:r>
              <w:rPr>
                <w:rFonts w:ascii="仿宋_GB2312" w:hAnsi="仿宋_GB2312" w:eastAsia="仿宋_GB2312" w:cs="仿宋_GB2312"/>
                <w:bCs/>
                <w:color w:val="000000"/>
                <w:spacing w:val="6"/>
                <w:szCs w:val="28"/>
              </w:rPr>
              <w:t>-</w:t>
            </w:r>
            <w:r>
              <w:rPr>
                <w:rFonts w:hint="eastAsia" w:ascii="仿宋_GB2312" w:hAnsi="仿宋_GB2312" w:eastAsia="仿宋_GB2312" w:cs="仿宋_GB2312"/>
                <w:bCs/>
                <w:color w:val="000000"/>
                <w:spacing w:val="6"/>
                <w:szCs w:val="28"/>
              </w:rPr>
              <w:t>用”联合团队</w:t>
            </w:r>
          </w:p>
          <w:p w14:paraId="1AD91292">
            <w:pPr>
              <w:adjustRightInd w:val="0"/>
              <w:snapToGrid w:val="0"/>
              <w:ind w:firstLine="504" w:firstLineChars="200"/>
              <w:rPr>
                <w:rFonts w:hint="eastAsia" w:ascii="仿宋_GB2312" w:hAnsi="仿宋_GB2312" w:eastAsia="仿宋_GB2312" w:cs="仿宋_GB2312"/>
                <w:color w:val="000000"/>
              </w:rPr>
            </w:pPr>
            <w:r>
              <w:rPr>
                <w:rFonts w:hint="eastAsia" w:ascii="仿宋_GB2312" w:hAnsi="仿宋_GB2312" w:eastAsia="仿宋_GB2312" w:cs="仿宋_GB2312"/>
                <w:bCs/>
                <w:color w:val="000000"/>
                <w:spacing w:val="6"/>
                <w:szCs w:val="28"/>
              </w:rPr>
              <w:t>需提供详细的经济性分析及推广价值评估</w:t>
            </w:r>
          </w:p>
        </w:tc>
      </w:tr>
      <w:tr w14:paraId="3F9FB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46B60">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作品评审</w:t>
            </w:r>
          </w:p>
          <w:p w14:paraId="2507A11A">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DCCC12">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技术创新性（</w:t>
            </w:r>
            <w:r>
              <w:rPr>
                <w:rFonts w:ascii="仿宋_GB2312" w:hAnsi="仿宋_GB2312" w:eastAsia="仿宋_GB2312" w:cs="仿宋_GB2312"/>
                <w:bCs/>
                <w:color w:val="000000"/>
                <w:spacing w:val="6"/>
                <w:szCs w:val="28"/>
                <w:lang w:val="en-US"/>
              </w:rPr>
              <w:t>30</w:t>
            </w:r>
            <w:r>
              <w:rPr>
                <w:rFonts w:hint="eastAsia" w:ascii="仿宋_GB2312" w:hAnsi="仿宋_GB2312" w:eastAsia="仿宋_GB2312" w:cs="仿宋_GB2312"/>
                <w:bCs/>
                <w:color w:val="000000"/>
                <w:spacing w:val="6"/>
                <w:szCs w:val="28"/>
                <w:lang w:val="en-US"/>
              </w:rPr>
              <w:t>分）</w:t>
            </w:r>
          </w:p>
          <w:p w14:paraId="358DA1C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技术路线的原创性与前瞻性</w:t>
            </w:r>
          </w:p>
          <w:p w14:paraId="1487F7A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与传统方法相比的显著优势</w:t>
            </w:r>
          </w:p>
          <w:p w14:paraId="650FC46A">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对现有技术瓶颈的突破程度</w:t>
            </w:r>
          </w:p>
          <w:p w14:paraId="76BA3C1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2. </w:t>
            </w:r>
            <w:r>
              <w:rPr>
                <w:rFonts w:hint="eastAsia" w:ascii="仿宋_GB2312" w:hAnsi="仿宋_GB2312" w:eastAsia="仿宋_GB2312" w:cs="仿宋_GB2312"/>
                <w:bCs/>
                <w:color w:val="000000"/>
                <w:spacing w:val="6"/>
                <w:szCs w:val="28"/>
                <w:lang w:val="en-US"/>
              </w:rPr>
              <w:t>方案完整性（</w:t>
            </w:r>
            <w:r>
              <w:rPr>
                <w:rFonts w:ascii="仿宋_GB2312" w:hAnsi="仿宋_GB2312" w:eastAsia="仿宋_GB2312" w:cs="仿宋_GB2312"/>
                <w:bCs/>
                <w:color w:val="000000"/>
                <w:spacing w:val="6"/>
                <w:szCs w:val="28"/>
                <w:lang w:val="en-US"/>
              </w:rPr>
              <w:t>25</w:t>
            </w:r>
            <w:r>
              <w:rPr>
                <w:rFonts w:hint="eastAsia" w:ascii="仿宋_GB2312" w:hAnsi="仿宋_GB2312" w:eastAsia="仿宋_GB2312" w:cs="仿宋_GB2312"/>
                <w:bCs/>
                <w:color w:val="000000"/>
                <w:spacing w:val="6"/>
                <w:szCs w:val="28"/>
                <w:lang w:val="en-US"/>
              </w:rPr>
              <w:t>分）</w:t>
            </w:r>
          </w:p>
          <w:p w14:paraId="61A17B21">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系统架构的完整性与合理性</w:t>
            </w:r>
          </w:p>
          <w:p w14:paraId="3A9FDA34">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技术细节的完备程度</w:t>
            </w:r>
          </w:p>
          <w:p w14:paraId="33355874">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实施路径的清晰可行性</w:t>
            </w:r>
          </w:p>
          <w:p w14:paraId="2D0FA0CB">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3. </w:t>
            </w:r>
            <w:r>
              <w:rPr>
                <w:rFonts w:hint="eastAsia" w:ascii="仿宋_GB2312" w:hAnsi="仿宋_GB2312" w:eastAsia="仿宋_GB2312" w:cs="仿宋_GB2312"/>
                <w:bCs/>
                <w:color w:val="000000"/>
                <w:spacing w:val="6"/>
                <w:szCs w:val="28"/>
                <w:lang w:val="en-US"/>
              </w:rPr>
              <w:t>应用实效性（</w:t>
            </w:r>
            <w:r>
              <w:rPr>
                <w:rFonts w:ascii="仿宋_GB2312" w:hAnsi="仿宋_GB2312" w:eastAsia="仿宋_GB2312" w:cs="仿宋_GB2312"/>
                <w:bCs/>
                <w:color w:val="000000"/>
                <w:spacing w:val="6"/>
                <w:szCs w:val="28"/>
                <w:lang w:val="en-US"/>
              </w:rPr>
              <w:t>25</w:t>
            </w:r>
            <w:r>
              <w:rPr>
                <w:rFonts w:hint="eastAsia" w:ascii="仿宋_GB2312" w:hAnsi="仿宋_GB2312" w:eastAsia="仿宋_GB2312" w:cs="仿宋_GB2312"/>
                <w:bCs/>
                <w:color w:val="000000"/>
                <w:spacing w:val="6"/>
                <w:szCs w:val="28"/>
                <w:lang w:val="en-US"/>
              </w:rPr>
              <w:t>分）</w:t>
            </w:r>
          </w:p>
          <w:p w14:paraId="4B98583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故障检测性能指标（速度、准确率、可靠性）</w:t>
            </w:r>
          </w:p>
          <w:p w14:paraId="3F706D1C">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对复杂场景的适应性</w:t>
            </w:r>
          </w:p>
          <w:p w14:paraId="1A88D87B">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工程实施的便利性</w:t>
            </w:r>
          </w:p>
          <w:p w14:paraId="1ABF3867">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4. </w:t>
            </w:r>
            <w:r>
              <w:rPr>
                <w:rFonts w:hint="eastAsia" w:ascii="仿宋_GB2312" w:hAnsi="仿宋_GB2312" w:eastAsia="仿宋_GB2312" w:cs="仿宋_GB2312"/>
                <w:bCs/>
                <w:color w:val="000000"/>
                <w:spacing w:val="6"/>
                <w:szCs w:val="28"/>
                <w:lang w:val="en-US"/>
              </w:rPr>
              <w:t>经济社会效益（</w:t>
            </w:r>
            <w:r>
              <w:rPr>
                <w:rFonts w:ascii="仿宋_GB2312" w:hAnsi="仿宋_GB2312" w:eastAsia="仿宋_GB2312" w:cs="仿宋_GB2312"/>
                <w:bCs/>
                <w:color w:val="000000"/>
                <w:spacing w:val="6"/>
                <w:szCs w:val="28"/>
                <w:lang w:val="en-US"/>
              </w:rPr>
              <w:t>15</w:t>
            </w:r>
            <w:r>
              <w:rPr>
                <w:rFonts w:hint="eastAsia" w:ascii="仿宋_GB2312" w:hAnsi="仿宋_GB2312" w:eastAsia="仿宋_GB2312" w:cs="仿宋_GB2312"/>
                <w:bCs/>
                <w:color w:val="000000"/>
                <w:spacing w:val="6"/>
                <w:szCs w:val="28"/>
                <w:lang w:val="en-US"/>
              </w:rPr>
              <w:t>分）</w:t>
            </w:r>
          </w:p>
          <w:p w14:paraId="34E39066">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成本效益分析合理性</w:t>
            </w:r>
          </w:p>
          <w:p w14:paraId="18F6D24C">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推广应用的潜力与价值</w:t>
            </w:r>
          </w:p>
          <w:p w14:paraId="09EF398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对行业发展的促进作用</w:t>
            </w:r>
          </w:p>
          <w:p w14:paraId="7B2084EF">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ascii="仿宋_GB2312" w:hAnsi="仿宋_GB2312" w:eastAsia="仿宋_GB2312" w:cs="仿宋_GB2312"/>
                <w:bCs/>
                <w:color w:val="000000"/>
                <w:spacing w:val="6"/>
                <w:szCs w:val="28"/>
                <w:lang w:val="en-US"/>
              </w:rPr>
              <w:t xml:space="preserve">5. </w:t>
            </w:r>
            <w:r>
              <w:rPr>
                <w:rFonts w:hint="eastAsia" w:ascii="仿宋_GB2312" w:hAnsi="仿宋_GB2312" w:eastAsia="仿宋_GB2312" w:cs="仿宋_GB2312"/>
                <w:bCs/>
                <w:color w:val="000000"/>
                <w:spacing w:val="6"/>
                <w:szCs w:val="28"/>
                <w:lang w:val="en-US"/>
              </w:rPr>
              <w:t>现场表现（</w:t>
            </w:r>
            <w:r>
              <w:rPr>
                <w:rFonts w:ascii="仿宋_GB2312" w:hAnsi="仿宋_GB2312" w:eastAsia="仿宋_GB2312" w:cs="仿宋_GB2312"/>
                <w:bCs/>
                <w:color w:val="000000"/>
                <w:spacing w:val="6"/>
                <w:szCs w:val="28"/>
                <w:lang w:val="en-US"/>
              </w:rPr>
              <w:t>5</w:t>
            </w:r>
            <w:r>
              <w:rPr>
                <w:rFonts w:hint="eastAsia" w:ascii="仿宋_GB2312" w:hAnsi="仿宋_GB2312" w:eastAsia="仿宋_GB2312" w:cs="仿宋_GB2312"/>
                <w:bCs/>
                <w:color w:val="000000"/>
                <w:spacing w:val="6"/>
                <w:szCs w:val="28"/>
                <w:lang w:val="en-US"/>
              </w:rPr>
              <w:t>分）</w:t>
            </w:r>
          </w:p>
          <w:p w14:paraId="2998CA20">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答辩陈述的清晰度</w:t>
            </w:r>
          </w:p>
          <w:p w14:paraId="362D6ACE">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问题回答的准确性</w:t>
            </w:r>
          </w:p>
          <w:p w14:paraId="270019E9">
            <w:pPr>
              <w:overflowPunct w:val="0"/>
              <w:adjustRightInd w:val="0"/>
              <w:snapToGrid w:val="0"/>
              <w:ind w:firstLine="504" w:firstLineChars="200"/>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团队协作的专业性</w:t>
            </w:r>
          </w:p>
        </w:tc>
      </w:tr>
      <w:tr w14:paraId="6A3D7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327958D1">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0B72941">
            <w:pPr>
              <w:overflowPunct w:val="0"/>
              <w:adjustRightInd w:val="0"/>
              <w:snapToGrid w:val="0"/>
              <w:ind w:firstLine="480"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color w:val="000000"/>
              </w:rPr>
              <w:t>无。</w:t>
            </w:r>
          </w:p>
        </w:tc>
      </w:tr>
    </w:tbl>
    <w:p w14:paraId="674DF600">
      <w:pPr>
        <w:tabs>
          <w:tab w:val="left" w:pos="8640"/>
        </w:tabs>
        <w:adjustRightInd w:val="0"/>
        <w:snapToGrid w:val="0"/>
        <w:spacing w:line="440" w:lineRule="exact"/>
        <w:ind w:firstLine="332"/>
        <w:rPr>
          <w:rFonts w:ascii="方正黑体简体" w:eastAsia="方正黑体简体"/>
          <w:bCs/>
          <w:spacing w:val="6"/>
          <w:sz w:val="32"/>
          <w:szCs w:val="32"/>
        </w:rPr>
      </w:pPr>
      <w:r>
        <w:rPr>
          <w:rFonts w:hint="eastAsia" w:ascii="方正黑体简体" w:eastAsia="方正黑体简体"/>
          <w:bCs/>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44AF8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EF79643">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lang w:val="en-US"/>
              </w:rPr>
              <w:t>保障</w:t>
            </w:r>
            <w:r>
              <w:rPr>
                <w:rFonts w:hint="eastAsia" w:ascii="楷体_GB2312" w:hAnsi="楷体_GB2312" w:eastAsia="楷体_GB2312" w:cs="楷体_GB2312"/>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1E76DC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1</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技术与咨询支持</w:t>
            </w:r>
          </w:p>
          <w:p w14:paraId="266C1E2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组织电力系统、人工智能领域专家提供技术指导</w:t>
            </w:r>
          </w:p>
          <w:p w14:paraId="6D03E8EE">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定期举办技术交流会与答疑会</w:t>
            </w:r>
          </w:p>
          <w:p w14:paraId="45EDC69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提供相关技术文献与标准规范汇编</w:t>
            </w:r>
          </w:p>
          <w:p w14:paraId="4DE7DCA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5308D80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2</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经费与资源支持</w:t>
            </w:r>
          </w:p>
          <w:p w14:paraId="782D095D">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优秀方案可获得电网公司试点应用机会</w:t>
            </w:r>
          </w:p>
          <w:p w14:paraId="2C6DEC7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1015026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3</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知识产权保护</w:t>
            </w:r>
          </w:p>
          <w:p w14:paraId="1109B7E2">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明确参赛团队的知识产权归属</w:t>
            </w:r>
          </w:p>
          <w:p w14:paraId="7AA2B7AF">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提供专利申请绿色通道</w:t>
            </w:r>
          </w:p>
          <w:p w14:paraId="3E023085">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设立技术转让与产业化对接平台</w:t>
            </w:r>
          </w:p>
          <w:p w14:paraId="750C44F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p w14:paraId="72BEB216">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4</w:t>
            </w:r>
            <w:r>
              <w:rPr>
                <w:rFonts w:ascii="仿宋_GB2312" w:hAnsi="仿宋_GB2312" w:eastAsia="仿宋_GB2312" w:cs="仿宋_GB2312"/>
                <w:bCs/>
                <w:color w:val="000000"/>
                <w:spacing w:val="6"/>
                <w:szCs w:val="28"/>
                <w:lang w:val="en-US"/>
              </w:rPr>
              <w:t xml:space="preserve">. </w:t>
            </w:r>
            <w:r>
              <w:rPr>
                <w:rFonts w:hint="eastAsia" w:ascii="仿宋_GB2312" w:hAnsi="仿宋_GB2312" w:eastAsia="仿宋_GB2312" w:cs="仿宋_GB2312"/>
                <w:bCs/>
                <w:color w:val="000000"/>
                <w:spacing w:val="6"/>
                <w:szCs w:val="28"/>
                <w:lang w:val="en-US"/>
              </w:rPr>
              <w:t>长期合作机制</w:t>
            </w:r>
          </w:p>
          <w:p w14:paraId="18C2E7A9">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优胜团队可优先参与后续相关项目研发</w:t>
            </w:r>
          </w:p>
          <w:p w14:paraId="4E9F6537">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建立长期技术合作关系</w:t>
            </w:r>
          </w:p>
          <w:p w14:paraId="55368623">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提供电网领域市场渠道与推广支持</w:t>
            </w:r>
          </w:p>
          <w:p w14:paraId="766273F1">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p>
        </w:tc>
      </w:tr>
      <w:tr w14:paraId="01628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4621"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939D7D0">
            <w:pPr>
              <w:adjustRightInd w:val="0"/>
              <w:snapToGrid w:val="0"/>
              <w:spacing w:line="560" w:lineRule="exact"/>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23EDFF8">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一、奖项设置</w:t>
            </w:r>
          </w:p>
          <w:p w14:paraId="1BF26C10">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eastAsia="zh-CN"/>
              </w:rPr>
              <w:t>原则上设“擂主”团队1个，</w:t>
            </w:r>
            <w:r>
              <w:rPr>
                <w:rFonts w:hint="eastAsia" w:ascii="仿宋_GB2312" w:hAnsi="仿宋_GB2312" w:eastAsia="仿宋_GB2312" w:cs="仿宋_GB2312"/>
                <w:bCs/>
                <w:color w:val="000000"/>
                <w:spacing w:val="6"/>
                <w:szCs w:val="28"/>
                <w:lang w:val="en-US"/>
              </w:rPr>
              <w:t>根据实际情况评出相应的特等奖、一等奖、二等奖、三等奖项目若干。其中获得特等奖的团队中选择最优作品作为“擂主”团队，开展后期项目落地及创业实践。</w:t>
            </w:r>
          </w:p>
          <w:p w14:paraId="480F43BC">
            <w:pPr>
              <w:adjustRightInd w:val="0"/>
              <w:snapToGrid w:val="0"/>
              <w:ind w:firstLine="504" w:firstLineChars="200"/>
              <w:jc w:val="both"/>
              <w:rPr>
                <w:rFonts w:hint="eastAsia" w:ascii="仿宋_GB2312" w:hAnsi="仿宋_GB2312" w:eastAsia="仿宋_GB2312" w:cs="仿宋_GB2312"/>
                <w:bCs/>
                <w:color w:val="000000"/>
                <w:spacing w:val="6"/>
                <w:szCs w:val="28"/>
                <w:lang w:val="en-US"/>
              </w:rPr>
            </w:pPr>
            <w:r>
              <w:rPr>
                <w:rFonts w:hint="eastAsia" w:ascii="仿宋_GB2312" w:hAnsi="仿宋_GB2312" w:eastAsia="仿宋_GB2312" w:cs="仿宋_GB2312"/>
                <w:bCs/>
                <w:color w:val="000000"/>
                <w:spacing w:val="6"/>
                <w:szCs w:val="28"/>
                <w:lang w:val="en-US"/>
              </w:rPr>
              <w:t>为部分优秀获奖团队提供线下实习工作机会，并由本单位出具实习证明。</w:t>
            </w:r>
          </w:p>
        </w:tc>
      </w:tr>
    </w:tbl>
    <w:p w14:paraId="2BB1B607">
      <w:pPr>
        <w:tabs>
          <w:tab w:val="left" w:pos="8640"/>
        </w:tabs>
        <w:adjustRightInd w:val="0"/>
        <w:snapToGrid w:val="0"/>
        <w:spacing w:line="560" w:lineRule="exact"/>
        <w:ind w:firstLine="332"/>
        <w:rPr>
          <w:rFonts w:ascii="方正黑体简体" w:eastAsia="方正黑体简体"/>
          <w:bCs/>
          <w:spacing w:val="6"/>
          <w:sz w:val="32"/>
          <w:szCs w:val="32"/>
          <w:lang w:val="en-US"/>
        </w:rPr>
      </w:pPr>
      <w:r>
        <w:rPr>
          <w:rFonts w:hint="eastAsia" w:ascii="方正黑体简体" w:eastAsia="方正黑体简体"/>
          <w:bCs/>
          <w:spacing w:val="6"/>
          <w:sz w:val="32"/>
          <w:szCs w:val="32"/>
          <w:lang w:val="en-US"/>
        </w:rPr>
        <w:t>四、选题意义</w:t>
      </w:r>
    </w:p>
    <w:tbl>
      <w:tblPr>
        <w:tblStyle w:val="11"/>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1769D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163366C9">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D9D4E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推动多技术融合创新</w:t>
            </w:r>
          </w:p>
          <w:p w14:paraId="62C99AC7">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促进人工智能、边缘计算、</w:t>
            </w:r>
            <w:r>
              <w:rPr>
                <w:rFonts w:ascii="仿宋_GB2312" w:hAnsi="仿宋_GB2312" w:eastAsia="仿宋_GB2312" w:cs="仿宋_GB2312"/>
                <w:bCs/>
                <w:color w:val="000000"/>
                <w:spacing w:val="6"/>
                <w:szCs w:val="28"/>
              </w:rPr>
              <w:t>5G</w:t>
            </w:r>
            <w:r>
              <w:rPr>
                <w:rFonts w:hint="eastAsia" w:ascii="仿宋_GB2312" w:hAnsi="仿宋_GB2312" w:eastAsia="仿宋_GB2312" w:cs="仿宋_GB2312"/>
                <w:bCs/>
                <w:color w:val="000000"/>
                <w:spacing w:val="6"/>
                <w:szCs w:val="28"/>
              </w:rPr>
              <w:t>通信与电力系统技术的深度融合，探索“</w:t>
            </w:r>
            <w:r>
              <w:rPr>
                <w:rFonts w:ascii="仿宋_GB2312" w:hAnsi="仿宋_GB2312" w:eastAsia="仿宋_GB2312" w:cs="仿宋_GB2312"/>
                <w:bCs/>
                <w:color w:val="000000"/>
                <w:spacing w:val="6"/>
                <w:szCs w:val="28"/>
              </w:rPr>
              <w:t>AI+</w:t>
            </w:r>
            <w:r>
              <w:rPr>
                <w:rFonts w:hint="eastAsia" w:ascii="仿宋_GB2312" w:hAnsi="仿宋_GB2312" w:eastAsia="仿宋_GB2312" w:cs="仿宋_GB2312"/>
                <w:bCs/>
                <w:color w:val="000000"/>
                <w:spacing w:val="6"/>
                <w:szCs w:val="28"/>
              </w:rPr>
              <w:t>电力”的新范式</w:t>
            </w:r>
          </w:p>
          <w:p w14:paraId="1C0510C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攻克关键技术瓶颈</w:t>
            </w:r>
          </w:p>
          <w:p w14:paraId="0962543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着力解决：</w:t>
            </w:r>
          </w:p>
          <w:p w14:paraId="44A30A3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强噪声环境下微弱故障特征的提取与识别</w:t>
            </w:r>
          </w:p>
          <w:p w14:paraId="731698A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有限量测条件下的故障精确定位</w:t>
            </w:r>
          </w:p>
          <w:p w14:paraId="76A2852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跨区域、跨电压等级故障的协同分析</w:t>
            </w:r>
          </w:p>
          <w:p w14:paraId="2E022AA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未知类型故障的自适应检测</w:t>
            </w:r>
          </w:p>
          <w:p w14:paraId="48E8B30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3. </w:t>
            </w:r>
            <w:r>
              <w:rPr>
                <w:rFonts w:hint="eastAsia" w:ascii="仿宋_GB2312" w:hAnsi="仿宋_GB2312" w:eastAsia="仿宋_GB2312" w:cs="仿宋_GB2312"/>
                <w:bCs/>
                <w:color w:val="000000"/>
                <w:spacing w:val="6"/>
                <w:szCs w:val="28"/>
              </w:rPr>
              <w:t>建立技术标准体系</w:t>
            </w:r>
          </w:p>
          <w:p w14:paraId="2228677D">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有望形成智能化故障检测的技术规范、测试标准和应用指南，引领行业技术发展方向</w:t>
            </w:r>
          </w:p>
          <w:p w14:paraId="1FD11E3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4. </w:t>
            </w:r>
            <w:r>
              <w:rPr>
                <w:rFonts w:hint="eastAsia" w:ascii="仿宋_GB2312" w:hAnsi="仿宋_GB2312" w:eastAsia="仿宋_GB2312" w:cs="仿宋_GB2312"/>
                <w:bCs/>
                <w:color w:val="000000"/>
                <w:spacing w:val="6"/>
                <w:szCs w:val="28"/>
              </w:rPr>
              <w:t>培养复合型人才</w:t>
            </w:r>
          </w:p>
          <w:p w14:paraId="5FC1FA9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通过项目实践培养既懂电力系统又精通人工智能的复合型技术团队</w:t>
            </w:r>
          </w:p>
        </w:tc>
      </w:tr>
      <w:tr w14:paraId="0915D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2FA5C3">
            <w:pPr>
              <w:overflowPunct w:val="0"/>
              <w:adjustRightInd w:val="0"/>
              <w:snapToGrid w:val="0"/>
              <w:jc w:val="center"/>
              <w:rPr>
                <w:rFonts w:hint="eastAsia" w:ascii="楷体_GB2312" w:hAnsi="楷体_GB2312" w:eastAsia="楷体_GB2312" w:cs="楷体_GB2312"/>
                <w:color w:val="000000"/>
                <w:sz w:val="28"/>
                <w:szCs w:val="28"/>
              </w:rPr>
            </w:pPr>
            <w:r>
              <w:rPr>
                <w:rFonts w:hint="eastAsia" w:ascii="楷体_GB2312" w:hAnsi="楷体_GB2312" w:eastAsia="楷体_GB2312" w:cs="楷体_GB2312"/>
                <w:color w:val="000000"/>
                <w:sz w:val="28"/>
                <w:szCs w:val="28"/>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E7E32C">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1. </w:t>
            </w:r>
            <w:r>
              <w:rPr>
                <w:rFonts w:hint="eastAsia" w:ascii="仿宋_GB2312" w:hAnsi="仿宋_GB2312" w:eastAsia="仿宋_GB2312" w:cs="仿宋_GB2312"/>
                <w:bCs/>
                <w:color w:val="000000"/>
                <w:spacing w:val="6"/>
                <w:szCs w:val="28"/>
              </w:rPr>
              <w:t>经济效益</w:t>
            </w:r>
          </w:p>
          <w:p w14:paraId="7102D869">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直接效益：预计可降低故障停电时间</w:t>
            </w:r>
            <w:r>
              <w:rPr>
                <w:rFonts w:ascii="仿宋_GB2312" w:hAnsi="仿宋_GB2312" w:eastAsia="仿宋_GB2312" w:cs="仿宋_GB2312"/>
                <w:bCs/>
                <w:color w:val="000000"/>
                <w:spacing w:val="6"/>
                <w:szCs w:val="28"/>
              </w:rPr>
              <w:t>20%-30%</w:t>
            </w:r>
            <w:r>
              <w:rPr>
                <w:rFonts w:hint="eastAsia" w:ascii="仿宋_GB2312" w:hAnsi="仿宋_GB2312" w:eastAsia="仿宋_GB2312" w:cs="仿宋_GB2312"/>
                <w:bCs/>
                <w:color w:val="000000"/>
                <w:spacing w:val="6"/>
                <w:szCs w:val="28"/>
              </w:rPr>
              <w:t>，每年减少经济损失数十亿元</w:t>
            </w:r>
          </w:p>
          <w:p w14:paraId="35318B90">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投资节约：减少冗余监测设备投资，提高现有设备利用率</w:t>
            </w:r>
          </w:p>
          <w:p w14:paraId="1DEF740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运维优化：降低人工巡检成本，提升运维效率</w:t>
            </w:r>
            <w:r>
              <w:rPr>
                <w:rFonts w:ascii="仿宋_GB2312" w:hAnsi="仿宋_GB2312" w:eastAsia="仿宋_GB2312" w:cs="仿宋_GB2312"/>
                <w:bCs/>
                <w:color w:val="000000"/>
                <w:spacing w:val="6"/>
                <w:szCs w:val="28"/>
              </w:rPr>
              <w:t>30%</w:t>
            </w:r>
            <w:r>
              <w:rPr>
                <w:rFonts w:hint="eastAsia" w:ascii="仿宋_GB2312" w:hAnsi="仿宋_GB2312" w:eastAsia="仿宋_GB2312" w:cs="仿宋_GB2312"/>
                <w:bCs/>
                <w:color w:val="000000"/>
                <w:spacing w:val="6"/>
                <w:szCs w:val="28"/>
              </w:rPr>
              <w:t>以上</w:t>
            </w:r>
          </w:p>
          <w:p w14:paraId="67C6AA64">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产业带动：带动智能传感、数据分析、系统集成等相关产业发展</w:t>
            </w:r>
          </w:p>
          <w:p w14:paraId="4B83B876">
            <w:pPr>
              <w:overflowPunct w:val="0"/>
              <w:adjustRightInd w:val="0"/>
              <w:snapToGrid w:val="0"/>
              <w:ind w:firstLine="504" w:firstLineChars="200"/>
              <w:rPr>
                <w:rFonts w:hint="eastAsia" w:ascii="仿宋_GB2312" w:hAnsi="仿宋_GB2312" w:eastAsia="仿宋_GB2312" w:cs="仿宋_GB2312"/>
                <w:bCs/>
                <w:color w:val="000000"/>
                <w:spacing w:val="6"/>
                <w:szCs w:val="28"/>
              </w:rPr>
            </w:pPr>
          </w:p>
          <w:p w14:paraId="1748638E">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ascii="仿宋_GB2312" w:hAnsi="仿宋_GB2312" w:eastAsia="仿宋_GB2312" w:cs="仿宋_GB2312"/>
                <w:bCs/>
                <w:color w:val="000000"/>
                <w:spacing w:val="6"/>
                <w:szCs w:val="28"/>
              </w:rPr>
              <w:t xml:space="preserve">2. </w:t>
            </w:r>
            <w:r>
              <w:rPr>
                <w:rFonts w:hint="eastAsia" w:ascii="仿宋_GB2312" w:hAnsi="仿宋_GB2312" w:eastAsia="仿宋_GB2312" w:cs="仿宋_GB2312"/>
                <w:bCs/>
                <w:color w:val="000000"/>
                <w:spacing w:val="6"/>
                <w:szCs w:val="28"/>
              </w:rPr>
              <w:t>社会效益</w:t>
            </w:r>
          </w:p>
          <w:p w14:paraId="4F200C83">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供电可靠性提升：显著改善民生用电质量和体验</w:t>
            </w:r>
          </w:p>
          <w:p w14:paraId="04A76ED8">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新能源消纳促进：提升电网对高比例新能源的接纳能力</w:t>
            </w:r>
          </w:p>
          <w:p w14:paraId="01965705">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应急响应增强：提高极端天气和突发事件下的电网韧性</w:t>
            </w:r>
          </w:p>
          <w:p w14:paraId="148BA256">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双碳目标支撑：为构建清洁低碳、安全高效的能源体系提供技术保障</w:t>
            </w:r>
          </w:p>
          <w:p w14:paraId="7AFCC9CB">
            <w:pPr>
              <w:overflowPunct w:val="0"/>
              <w:adjustRightInd w:val="0"/>
              <w:snapToGrid w:val="0"/>
              <w:ind w:firstLine="504" w:firstLineChars="200"/>
              <w:rPr>
                <w:rFonts w:hint="eastAsia" w:ascii="仿宋_GB2312" w:hAnsi="仿宋_GB2312" w:eastAsia="仿宋_GB2312" w:cs="仿宋_GB2312"/>
                <w:bCs/>
                <w:color w:val="000000"/>
                <w:spacing w:val="6"/>
                <w:szCs w:val="28"/>
              </w:rPr>
            </w:pPr>
            <w:r>
              <w:rPr>
                <w:rFonts w:hint="eastAsia" w:ascii="仿宋_GB2312" w:hAnsi="仿宋_GB2312" w:eastAsia="仿宋_GB2312" w:cs="仿宋_GB2312"/>
                <w:bCs/>
                <w:color w:val="000000"/>
                <w:spacing w:val="6"/>
                <w:szCs w:val="28"/>
              </w:rPr>
              <w:t>国际竞争力提升：形成具有自主知识产权的核心技术，助力中国电力技术“走出去”</w:t>
            </w:r>
          </w:p>
        </w:tc>
      </w:tr>
    </w:tbl>
    <w:p w14:paraId="62952C5C">
      <w:pPr>
        <w:rPr>
          <w:rFonts w:hint="eastAsia" w:ascii="楷体_GB2312" w:hAnsi="楷体_GB2312" w:eastAsia="楷体_GB2312" w:cs="楷体_GB2312"/>
        </w:rPr>
      </w:pPr>
      <w:r>
        <w:rPr>
          <w:rFonts w:hint="eastAsia" w:ascii="楷体_GB2312" w:hAnsi="楷体_GB2312" w:eastAsia="楷体_GB2312" w:cs="楷体_GB2312"/>
        </w:rPr>
        <w:br w:type="page"/>
      </w:r>
    </w:p>
    <w:p w14:paraId="654FC142">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kern w:val="2"/>
          <w:sz w:val="44"/>
          <w:szCs w:val="32"/>
          <w:highlight w:val="none"/>
          <w:lang w:val="en-US" w:eastAsia="zh-CN"/>
        </w:rPr>
      </w:pPr>
      <w:r>
        <w:rPr>
          <w:rFonts w:hint="eastAsia" w:ascii="Times New Roman" w:hAnsi="Times New Roman" w:eastAsia="方正小标宋简体" w:cs="方正小标宋简体"/>
          <w:b w:val="0"/>
          <w:bCs/>
          <w:kern w:val="2"/>
          <w:sz w:val="44"/>
          <w:szCs w:val="32"/>
          <w:highlight w:val="none"/>
          <w:lang w:val="en-US" w:eastAsia="zh-CN"/>
        </w:rPr>
        <w:t>“青智未来”新质生产力</w:t>
      </w:r>
      <w:r>
        <w:rPr>
          <w:rFonts w:hint="default" w:ascii="Times New Roman" w:hAnsi="Times New Roman" w:eastAsia="方正小标宋简体" w:cs="Times New Roman"/>
          <w:b w:val="0"/>
          <w:bCs/>
          <w:kern w:val="2"/>
          <w:sz w:val="44"/>
          <w:szCs w:val="32"/>
          <w:highlight w:val="none"/>
          <w:lang w:val="en-US" w:eastAsia="zh-CN"/>
        </w:rPr>
        <w:t>专项赛</w:t>
      </w:r>
    </w:p>
    <w:p w14:paraId="43D7CF10">
      <w:pPr>
        <w:keepNext w:val="0"/>
        <w:keepLines w:val="0"/>
        <w:pageBreakBefore w:val="0"/>
        <w:widowControl w:val="0"/>
        <w:tabs>
          <w:tab w:val="left" w:pos="8640"/>
        </w:tabs>
        <w:kinsoku/>
        <w:wordWrap w:val="0"/>
        <w:topLinePunct w:val="0"/>
        <w:autoSpaceDE/>
        <w:autoSpaceDN/>
        <w:bidi w:val="0"/>
        <w:adjustRightInd w:val="0"/>
        <w:snapToGrid w:val="0"/>
        <w:spacing w:line="560" w:lineRule="exact"/>
        <w:jc w:val="center"/>
        <w:rPr>
          <w:rFonts w:hint="default" w:ascii="Times New Roman" w:hAnsi="Times New Roman" w:eastAsia="方正小标宋简体" w:cs="Times New Roman"/>
          <w:b w:val="0"/>
          <w:bCs/>
          <w:kern w:val="2"/>
          <w:sz w:val="44"/>
          <w:szCs w:val="32"/>
          <w:highlight w:val="none"/>
          <w:lang w:val="en-US" w:eastAsia="zh-CN"/>
        </w:rPr>
      </w:pPr>
      <w:r>
        <w:rPr>
          <w:rFonts w:hint="default" w:ascii="Times New Roman" w:hAnsi="Times New Roman" w:eastAsia="方正小标宋简体" w:cs="Times New Roman"/>
          <w:b w:val="0"/>
          <w:bCs/>
          <w:kern w:val="2"/>
          <w:sz w:val="44"/>
          <w:szCs w:val="32"/>
          <w:highlight w:val="none"/>
          <w:lang w:val="en-US" w:eastAsia="zh-CN"/>
        </w:rPr>
        <w:t>项目需求榜单</w:t>
      </w:r>
      <w:r>
        <w:rPr>
          <w:rFonts w:hint="eastAsia" w:ascii="Times New Roman" w:hAnsi="Times New Roman" w:eastAsia="方正小标宋简体" w:cs="方正小标宋简体"/>
          <w:b w:val="0"/>
          <w:bCs/>
          <w:kern w:val="2"/>
          <w:sz w:val="44"/>
          <w:szCs w:val="32"/>
          <w:highlight w:val="none"/>
          <w:lang w:val="en-US" w:eastAsia="zh-CN"/>
        </w:rPr>
        <w:t>—2</w:t>
      </w:r>
      <w:r>
        <w:rPr>
          <w:rFonts w:hint="eastAsia" w:eastAsia="方正小标宋简体" w:cs="方正小标宋简体"/>
          <w:b w:val="0"/>
          <w:bCs/>
          <w:kern w:val="2"/>
          <w:sz w:val="44"/>
          <w:szCs w:val="32"/>
          <w:highlight w:val="none"/>
          <w:lang w:val="en-US" w:eastAsia="zh-CN"/>
        </w:rPr>
        <w:t>2</w:t>
      </w:r>
    </w:p>
    <w:p w14:paraId="5D748C18">
      <w:pPr>
        <w:keepNext w:val="0"/>
        <w:keepLines w:val="0"/>
        <w:pageBreakBefore w:val="0"/>
        <w:widowControl w:val="0"/>
        <w:tabs>
          <w:tab w:val="left" w:pos="8640"/>
        </w:tabs>
        <w:kinsoku/>
        <w:wordWrap w:val="0"/>
        <w:overflowPunct/>
        <w:topLinePunct w:val="0"/>
        <w:autoSpaceDE/>
        <w:autoSpaceDN/>
        <w:bidi w:val="0"/>
        <w:adjustRightInd w:val="0"/>
        <w:snapToGrid w:val="0"/>
        <w:spacing w:line="560" w:lineRule="exact"/>
        <w:jc w:val="center"/>
        <w:textAlignment w:val="auto"/>
        <w:rPr>
          <w:rFonts w:hint="default" w:ascii="Times New Roman" w:hAnsi="Times New Roman" w:eastAsia="方正小标宋简体" w:cs="Times New Roman"/>
          <w:b w:val="0"/>
          <w:bCs/>
          <w:kern w:val="2"/>
          <w:sz w:val="32"/>
          <w:szCs w:val="22"/>
          <w:highlight w:val="none"/>
          <w:lang w:val="en-US" w:eastAsia="zh-CN"/>
        </w:rPr>
      </w:pPr>
    </w:p>
    <w:p w14:paraId="1823D1A7">
      <w:pPr>
        <w:tabs>
          <w:tab w:val="left" w:pos="8640"/>
        </w:tabs>
        <w:adjustRightInd w:val="0"/>
        <w:snapToGrid w:val="0"/>
        <w:spacing w:line="560" w:lineRule="exact"/>
        <w:rPr>
          <w:rFonts w:ascii="方正楷体简体" w:hAnsi="方正楷体简体" w:eastAsia="方正楷体简体" w:cs="方正楷体简体"/>
          <w:bCs/>
          <w:color w:val="auto"/>
          <w:spacing w:val="6"/>
        </w:rPr>
      </w:pPr>
      <w:r>
        <w:rPr>
          <w:rFonts w:hint="eastAsia" w:ascii="方正黑体简体" w:eastAsia="方正黑体简体"/>
          <w:bCs/>
          <w:color w:val="auto"/>
          <w:spacing w:val="6"/>
          <w:sz w:val="32"/>
          <w:szCs w:val="32"/>
        </w:rPr>
        <w:t>一、单位信息</w:t>
      </w:r>
    </w:p>
    <w:tbl>
      <w:tblPr>
        <w:tblStyle w:val="11"/>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076"/>
        <w:gridCol w:w="1073"/>
        <w:gridCol w:w="2783"/>
      </w:tblGrid>
      <w:tr w14:paraId="3597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743D7D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单位名称</w:t>
            </w:r>
          </w:p>
        </w:tc>
        <w:tc>
          <w:tcPr>
            <w:tcW w:w="6932" w:type="dxa"/>
            <w:gridSpan w:val="3"/>
            <w:vAlign w:val="center"/>
          </w:tcPr>
          <w:p w14:paraId="54669D21">
            <w:pPr>
              <w:adjustRightInd w:val="0"/>
              <w:snapToGrid w:val="0"/>
              <w:jc w:val="center"/>
              <w:rPr>
                <w:rFonts w:hint="eastAsia" w:ascii="仿宋_GB2312" w:hAnsi="仿宋_GB2312" w:eastAsia="仿宋_GB2312" w:cs="仿宋_GB2312"/>
                <w:color w:val="auto"/>
              </w:rPr>
            </w:pPr>
            <w:r>
              <w:rPr>
                <w:rFonts w:hint="eastAsia" w:ascii="仿宋_GB2312" w:hAnsi="仿宋_GB2312" w:eastAsia="仿宋_GB2312" w:cs="仿宋_GB2312"/>
                <w:bCs/>
                <w:color w:val="auto"/>
                <w:spacing w:val="6"/>
                <w:szCs w:val="28"/>
                <w:lang w:val="en-US" w:eastAsia="zh-CN"/>
              </w:rPr>
              <w:t>中国共产主义青年团北京市平谷区委员会、钨丝邦（北京）科技服务有限公司</w:t>
            </w:r>
          </w:p>
        </w:tc>
      </w:tr>
      <w:tr w14:paraId="14BF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668" w:type="dxa"/>
            <w:vAlign w:val="center"/>
          </w:tcPr>
          <w:p w14:paraId="710DA9C2">
            <w:pPr>
              <w:adjustRightInd w:val="0"/>
              <w:snapToGrid w:val="0"/>
              <w:jc w:val="center"/>
              <w:rPr>
                <w:rFonts w:hint="eastAsia" w:ascii="楷体_GB2312" w:hAnsi="楷体_GB2312" w:eastAsia="楷体_GB2312" w:cs="楷体_GB2312"/>
                <w:bCs/>
                <w:color w:val="auto"/>
                <w:spacing w:val="6"/>
                <w:szCs w:val="28"/>
                <w:lang w:val="en-US"/>
              </w:rPr>
            </w:pPr>
            <w:r>
              <w:rPr>
                <w:rFonts w:hint="eastAsia" w:ascii="楷体_GB2312" w:hAnsi="楷体_GB2312" w:eastAsia="楷体_GB2312" w:cs="楷体_GB2312"/>
                <w:color w:val="auto"/>
                <w:sz w:val="28"/>
                <w:szCs w:val="32"/>
                <w:lang w:val="en-US"/>
              </w:rPr>
              <w:t>单位类型</w:t>
            </w:r>
          </w:p>
        </w:tc>
        <w:tc>
          <w:tcPr>
            <w:tcW w:w="6932" w:type="dxa"/>
            <w:gridSpan w:val="3"/>
            <w:vAlign w:val="center"/>
          </w:tcPr>
          <w:p w14:paraId="37ADC5CF">
            <w:pPr>
              <w:adjustRightInd w:val="0"/>
              <w:snapToGrid w:val="0"/>
              <w:jc w:val="center"/>
              <w:rPr>
                <w:rFonts w:hint="eastAsia" w:ascii="仿宋_GB2312" w:hAnsi="仿宋_GB2312" w:eastAsia="仿宋_GB2312" w:cs="仿宋_GB2312"/>
                <w:bCs/>
                <w:color w:val="auto"/>
                <w:spacing w:val="6"/>
                <w:szCs w:val="28"/>
                <w:lang w:val="en-US"/>
              </w:rPr>
            </w:pPr>
            <w:r>
              <w:rPr>
                <w:rFonts w:hint="eastAsia" w:ascii="仿宋_GB2312" w:hAnsi="仿宋_GB2312" w:eastAsia="仿宋_GB2312" w:cs="仿宋_GB2312"/>
                <w:bCs/>
                <w:color w:val="auto"/>
                <w:spacing w:val="6"/>
                <w:szCs w:val="28"/>
                <w:lang w:val="en-US" w:eastAsia="zh-CN"/>
              </w:rPr>
              <w:t>青年团北京市平谷区委员会、</w:t>
            </w:r>
            <w:r>
              <w:rPr>
                <w:rFonts w:hint="eastAsia" w:ascii="仿宋_GB2312" w:hAnsi="仿宋_GB2312" w:eastAsia="仿宋_GB2312" w:cs="仿宋_GB2312"/>
                <w:bCs/>
                <w:color w:val="auto"/>
                <w:spacing w:val="6"/>
                <w:szCs w:val="28"/>
                <w:lang w:val="en-US"/>
              </w:rPr>
              <w:t>私营企业</w:t>
            </w:r>
          </w:p>
        </w:tc>
      </w:tr>
      <w:tr w14:paraId="5DC7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68" w:type="dxa"/>
            <w:vAlign w:val="center"/>
          </w:tcPr>
          <w:p w14:paraId="461E0357">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地址</w:t>
            </w:r>
          </w:p>
        </w:tc>
        <w:tc>
          <w:tcPr>
            <w:tcW w:w="6932" w:type="dxa"/>
            <w:gridSpan w:val="3"/>
            <w:vAlign w:val="center"/>
          </w:tcPr>
          <w:p w14:paraId="63ADFFAD">
            <w:pPr>
              <w:adjustRightInd w:val="0"/>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北京市平谷区新平北路77号8号楼</w:t>
            </w:r>
          </w:p>
        </w:tc>
      </w:tr>
      <w:tr w14:paraId="61B4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668" w:type="dxa"/>
            <w:vAlign w:val="center"/>
          </w:tcPr>
          <w:p w14:paraId="64DB74D8">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lang w:val="en-US"/>
              </w:rPr>
              <w:t>单位</w:t>
            </w:r>
            <w:r>
              <w:rPr>
                <w:rFonts w:hint="eastAsia" w:ascii="楷体_GB2312" w:hAnsi="楷体_GB2312" w:eastAsia="楷体_GB2312" w:cs="楷体_GB2312"/>
                <w:color w:val="auto"/>
                <w:sz w:val="28"/>
                <w:szCs w:val="32"/>
              </w:rPr>
              <w:t>简介</w:t>
            </w:r>
          </w:p>
        </w:tc>
        <w:tc>
          <w:tcPr>
            <w:tcW w:w="6932" w:type="dxa"/>
            <w:gridSpan w:val="3"/>
            <w:vAlign w:val="center"/>
          </w:tcPr>
          <w:p w14:paraId="12D53634">
            <w:pPr>
              <w:adjustRightInd w:val="0"/>
              <w:snapToGrid w:val="0"/>
              <w:ind w:firstLine="504" w:firstLineChars="200"/>
              <w:jc w:val="both"/>
              <w:rPr>
                <w:rFonts w:hint="eastAsia"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rPr>
              <w:t>钨丝邦</w:t>
            </w:r>
            <w:r>
              <w:rPr>
                <w:rFonts w:hint="eastAsia" w:ascii="仿宋_GB2312" w:hAnsi="仿宋_GB2312" w:eastAsia="仿宋_GB2312" w:cs="仿宋_GB2312"/>
                <w:bCs/>
                <w:color w:val="auto"/>
                <w:spacing w:val="6"/>
                <w:szCs w:val="28"/>
                <w:lang w:eastAsia="zh-CN"/>
              </w:rPr>
              <w:t>，</w:t>
            </w:r>
            <w:r>
              <w:rPr>
                <w:rFonts w:hint="eastAsia" w:ascii="仿宋_GB2312" w:hAnsi="仿宋_GB2312" w:eastAsia="仿宋_GB2312" w:cs="仿宋_GB2312"/>
                <w:bCs/>
                <w:color w:val="auto"/>
                <w:spacing w:val="6"/>
                <w:szCs w:val="28"/>
              </w:rPr>
              <w:t>这个昔日闲置的大发冷库，如今已经焕然一新，成为了一个充满创意与活力的创新平台。总占地面积7000余平米，可同时容纳50家公司，100个初创团队，服务500+创业者，为三农、科技、文创、中小型高新技术、初创等企业提供一站式服务平台。致力于成为一家为区经济发展培育新动能、新主体的创新创业服务平台。挖掘区内外、重点紧盯区外高成长创新型企业，吸引其入孵（入驻），并提供全生命周期的高质量服务，助力企业做大做强、在平谷落地生根。</w:t>
            </w:r>
            <w:r>
              <w:rPr>
                <w:rFonts w:hint="eastAsia" w:ascii="仿宋_GB2312" w:hAnsi="仿宋_GB2312" w:eastAsia="仿宋_GB2312" w:cs="仿宋_GB2312"/>
                <w:bCs/>
                <w:color w:val="auto"/>
                <w:spacing w:val="6"/>
                <w:szCs w:val="28"/>
                <w:lang w:val="en-US" w:eastAsia="zh-CN"/>
              </w:rPr>
              <w:t>目前园区先后荣获北京市文化产业园区、北京市科技孵化器、北京城市更新示范项目、首都文明单位、北京市残疾人就业创业孵化基地、北京地区高校毕业生职场体验基地等多项荣誉。</w:t>
            </w:r>
          </w:p>
          <w:p w14:paraId="3D0225F4">
            <w:pPr>
              <w:adjustRightInd w:val="0"/>
              <w:snapToGrid w:val="0"/>
              <w:ind w:firstLine="504" w:firstLineChars="200"/>
              <w:jc w:val="both"/>
              <w:rPr>
                <w:rFonts w:hint="eastAsia" w:ascii="仿宋_GB2312" w:hAnsi="仿宋_GB2312" w:eastAsia="仿宋_GB2312" w:cs="仿宋_GB2312"/>
                <w:bCs/>
                <w:color w:val="auto"/>
                <w:spacing w:val="6"/>
                <w:szCs w:val="28"/>
              </w:rPr>
            </w:pPr>
            <w:r>
              <w:rPr>
                <w:rFonts w:hint="eastAsia" w:ascii="仿宋_GB2312" w:hAnsi="仿宋_GB2312" w:eastAsia="仿宋_GB2312" w:cs="仿宋_GB2312"/>
                <w:bCs/>
                <w:color w:val="auto"/>
                <w:spacing w:val="6"/>
                <w:szCs w:val="28"/>
                <w:lang w:val="en-US" w:eastAsia="zh-CN"/>
              </w:rPr>
              <w:t>2025年4月29日，由平谷区委组织部、区委宣传部、区委统战部指导，共青团北京市平谷区委员会主导的“青年飞谷计划”正式启动。2025年钨丝邦正式成为青年</w:t>
            </w:r>
            <w:r>
              <w:rPr>
                <w:rFonts w:hint="eastAsia" w:ascii="仿宋_GB2312" w:hAnsi="仿宋_GB2312" w:eastAsia="仿宋_GB2312" w:cs="仿宋_GB2312"/>
                <w:bCs/>
                <w:color w:val="auto"/>
                <w:spacing w:val="6"/>
                <w:szCs w:val="28"/>
                <w:highlight w:val="none"/>
                <w:lang w:val="en-US" w:eastAsia="zh-CN"/>
              </w:rPr>
              <w:t>飞谷</w:t>
            </w:r>
            <w:r>
              <w:rPr>
                <w:rFonts w:hint="eastAsia" w:ascii="仿宋_GB2312" w:hAnsi="仿宋_GB2312" w:eastAsia="仿宋_GB2312" w:cs="仿宋_GB2312"/>
                <w:bCs/>
                <w:color w:val="auto"/>
                <w:spacing w:val="6"/>
                <w:szCs w:val="28"/>
                <w:lang w:val="en-US" w:eastAsia="zh-CN"/>
              </w:rPr>
              <w:t>·见习基地，面向平谷籍于区外求学深造、就业发展的青年群体和有志于前来平谷区投资创业、开启生活的新平谷建设力量。</w:t>
            </w:r>
          </w:p>
        </w:tc>
      </w:tr>
      <w:tr w14:paraId="06D7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668" w:type="dxa"/>
            <w:vAlign w:val="center"/>
          </w:tcPr>
          <w:p w14:paraId="2CF0CCFD">
            <w:pPr>
              <w:adjustRightInd w:val="0"/>
              <w:snapToGrid w:val="0"/>
              <w:ind w:firstLine="280" w:firstLineChars="100"/>
              <w:jc w:val="both"/>
              <w:rPr>
                <w:rFonts w:hint="eastAsia" w:ascii="楷体_GB2312" w:hAnsi="楷体_GB2312" w:eastAsia="楷体_GB2312" w:cs="楷体_GB2312"/>
                <w:bCs/>
                <w:color w:val="auto"/>
                <w:spacing w:val="6"/>
                <w:szCs w:val="28"/>
              </w:rPr>
            </w:pPr>
            <w:r>
              <w:rPr>
                <w:rFonts w:hint="eastAsia" w:ascii="楷体_GB2312" w:hAnsi="楷体_GB2312" w:eastAsia="楷体_GB2312" w:cs="楷体_GB2312"/>
                <w:color w:val="auto"/>
                <w:sz w:val="28"/>
                <w:szCs w:val="32"/>
                <w:lang w:val="en-US"/>
              </w:rPr>
              <w:t>联系人</w:t>
            </w:r>
          </w:p>
        </w:tc>
        <w:tc>
          <w:tcPr>
            <w:tcW w:w="3076" w:type="dxa"/>
            <w:vAlign w:val="center"/>
          </w:tcPr>
          <w:p w14:paraId="71E05A45">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张立兴</w:t>
            </w:r>
          </w:p>
        </w:tc>
        <w:tc>
          <w:tcPr>
            <w:tcW w:w="1073" w:type="dxa"/>
            <w:vAlign w:val="center"/>
          </w:tcPr>
          <w:p w14:paraId="69695C1A">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职务</w:t>
            </w:r>
          </w:p>
        </w:tc>
        <w:tc>
          <w:tcPr>
            <w:tcW w:w="2783" w:type="dxa"/>
            <w:vAlign w:val="center"/>
          </w:tcPr>
          <w:p w14:paraId="5ADA9113">
            <w:pPr>
              <w:adjustRightInd w:val="0"/>
              <w:snapToGrid w:val="0"/>
              <w:jc w:val="center"/>
              <w:rPr>
                <w:rFonts w:hint="default" w:ascii="Times New Roman" w:hAnsi="Times New Roman" w:eastAsia="方正仿宋简体" w:cs="Times New Roman"/>
                <w:color w:val="auto"/>
                <w:lang w:val="en-US" w:eastAsia="zh-CN"/>
              </w:rPr>
            </w:pPr>
            <w:r>
              <w:rPr>
                <w:rFonts w:hint="eastAsia" w:ascii="仿宋_GB2312" w:hAnsi="仿宋_GB2312" w:eastAsia="仿宋_GB2312" w:cs="仿宋_GB2312"/>
                <w:bCs/>
                <w:color w:val="auto"/>
                <w:spacing w:val="6"/>
                <w:szCs w:val="28"/>
                <w:lang w:val="en-US" w:eastAsia="zh-CN"/>
              </w:rPr>
              <w:t>平谷区青创协会创业服务部副部长</w:t>
            </w:r>
          </w:p>
        </w:tc>
      </w:tr>
      <w:tr w14:paraId="764F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1668" w:type="dxa"/>
            <w:vAlign w:val="center"/>
          </w:tcPr>
          <w:p w14:paraId="13D5D88B">
            <w:pPr>
              <w:adjustRightInd w:val="0"/>
              <w:snapToGrid w:val="0"/>
              <w:jc w:val="center"/>
              <w:rPr>
                <w:rFonts w:hint="eastAsia" w:ascii="楷体_GB2312" w:hAnsi="楷体_GB2312" w:eastAsia="楷体_GB2312" w:cs="楷体_GB2312"/>
                <w:bCs/>
                <w:color w:val="auto"/>
                <w:spacing w:val="6"/>
                <w:szCs w:val="28"/>
                <w:lang w:val="en-US" w:eastAsia="zh-CN"/>
              </w:rPr>
            </w:pPr>
            <w:r>
              <w:rPr>
                <w:rFonts w:hint="eastAsia" w:ascii="楷体_GB2312" w:hAnsi="楷体_GB2312" w:eastAsia="楷体_GB2312" w:cs="楷体_GB2312"/>
                <w:color w:val="auto"/>
                <w:sz w:val="28"/>
                <w:szCs w:val="32"/>
                <w:lang w:val="en-US" w:eastAsia="zh-CN"/>
              </w:rPr>
              <w:t>联系方式</w:t>
            </w:r>
          </w:p>
        </w:tc>
        <w:tc>
          <w:tcPr>
            <w:tcW w:w="3076" w:type="dxa"/>
            <w:vAlign w:val="center"/>
          </w:tcPr>
          <w:p w14:paraId="3628AE71">
            <w:pPr>
              <w:adjustRightInd w:val="0"/>
              <w:snapToGrid w:val="0"/>
              <w:jc w:val="center"/>
              <w:rPr>
                <w:rFonts w:hint="default" w:ascii="仿宋_GB2312" w:hAnsi="仿宋_GB2312" w:eastAsia="仿宋_GB2312" w:cs="仿宋_GB2312"/>
                <w:bCs/>
                <w:color w:val="auto"/>
                <w:spacing w:val="6"/>
                <w:szCs w:val="28"/>
                <w:lang w:val="en-US" w:eastAsia="zh-CN"/>
              </w:rPr>
            </w:pPr>
            <w:r>
              <w:rPr>
                <w:rFonts w:hint="eastAsia" w:ascii="仿宋_GB2312" w:hAnsi="仿宋_GB2312" w:eastAsia="仿宋_GB2312" w:cs="仿宋_GB2312"/>
                <w:bCs/>
                <w:color w:val="auto"/>
                <w:spacing w:val="6"/>
                <w:szCs w:val="28"/>
                <w:lang w:val="en-US" w:eastAsia="zh-CN"/>
              </w:rPr>
              <w:t>15001203654</w:t>
            </w:r>
          </w:p>
        </w:tc>
        <w:tc>
          <w:tcPr>
            <w:tcW w:w="1073" w:type="dxa"/>
            <w:vAlign w:val="center"/>
          </w:tcPr>
          <w:p w14:paraId="6FE08B39">
            <w:pPr>
              <w:adjustRightInd w:val="0"/>
              <w:spacing w:line="560" w:lineRule="exact"/>
              <w:jc w:val="center"/>
              <w:rPr>
                <w:rFonts w:hint="eastAsia" w:ascii="楷体_GB2312" w:hAnsi="楷体_GB2312" w:eastAsia="楷体_GB2312" w:cs="楷体_GB2312"/>
                <w:color w:val="auto"/>
                <w:sz w:val="28"/>
                <w:szCs w:val="32"/>
              </w:rPr>
            </w:pPr>
            <w:r>
              <w:rPr>
                <w:rFonts w:hint="eastAsia" w:ascii="楷体_GB2312" w:hAnsi="楷体_GB2312" w:eastAsia="楷体_GB2312" w:cs="楷体_GB2312"/>
                <w:color w:val="auto"/>
                <w:sz w:val="28"/>
                <w:szCs w:val="32"/>
              </w:rPr>
              <w:t>微信</w:t>
            </w:r>
          </w:p>
        </w:tc>
        <w:tc>
          <w:tcPr>
            <w:tcW w:w="2783" w:type="dxa"/>
            <w:vAlign w:val="center"/>
          </w:tcPr>
          <w:p w14:paraId="34971348">
            <w:pPr>
              <w:adjustRightInd w:val="0"/>
              <w:jc w:val="center"/>
              <w:rPr>
                <w:rFonts w:hint="eastAsia" w:ascii="Times New Roman" w:hAnsi="Times New Roman" w:eastAsia="方正仿宋简体" w:cs="Times New Roman"/>
                <w:color w:val="auto"/>
              </w:rPr>
            </w:pPr>
            <w:r>
              <w:rPr>
                <w:rFonts w:hint="eastAsia" w:ascii="仿宋_GB2312" w:hAnsi="仿宋_GB2312" w:eastAsia="仿宋_GB2312" w:cs="仿宋_GB2312"/>
                <w:bCs/>
                <w:color w:val="auto"/>
                <w:spacing w:val="6"/>
                <w:szCs w:val="28"/>
                <w:lang w:val="en-US" w:eastAsia="zh-CN"/>
              </w:rPr>
              <w:t>15001203654</w:t>
            </w:r>
          </w:p>
        </w:tc>
      </w:tr>
    </w:tbl>
    <w:p w14:paraId="24F12A9A">
      <w:pPr>
        <w:tabs>
          <w:tab w:val="left" w:pos="8640"/>
        </w:tabs>
        <w:adjustRightInd w:val="0"/>
        <w:snapToGrid w:val="0"/>
        <w:spacing w:line="56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二、选题说明</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35"/>
        <w:gridCol w:w="6669"/>
      </w:tblGrid>
      <w:tr w14:paraId="5C895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980"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5D2693A">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选题</w:t>
            </w:r>
            <w:r>
              <w:rPr>
                <w:rFonts w:hint="eastAsia" w:ascii="楷体_GB2312" w:hAnsi="楷体_GB2312" w:eastAsia="楷体_GB2312" w:cs="楷体_GB2312"/>
                <w:b w:val="0"/>
                <w:color w:val="000000"/>
                <w:sz w:val="28"/>
                <w:szCs w:val="28"/>
              </w:rPr>
              <w:t>题目</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5E15C3A">
            <w:pPr>
              <w:adjustRightInd w:val="0"/>
              <w:snapToGrid w:val="0"/>
              <w:jc w:val="center"/>
              <w:rPr>
                <w:rFonts w:hint="default" w:ascii="仿宋_GB2312" w:hAnsi="仿宋_GB2312" w:eastAsia="仿宋_GB2312" w:cs="仿宋_GB2312"/>
                <w:b w:val="0"/>
                <w:color w:val="000000"/>
                <w:lang w:val="en-US"/>
              </w:rPr>
            </w:pPr>
            <w:r>
              <w:rPr>
                <w:rFonts w:hint="eastAsia" w:ascii="仿宋_GB2312" w:hAnsi="仿宋_GB2312" w:eastAsia="仿宋_GB2312" w:cs="仿宋_GB2312"/>
                <w:b w:val="0"/>
                <w:bCs/>
                <w:color w:val="000000"/>
                <w:spacing w:val="6"/>
                <w:szCs w:val="28"/>
                <w:lang w:eastAsia="zh-CN"/>
              </w:rPr>
              <w:t>人工</w:t>
            </w:r>
            <w:r>
              <w:rPr>
                <w:rFonts w:hint="eastAsia" w:ascii="仿宋_GB2312" w:hAnsi="仿宋_GB2312" w:eastAsia="仿宋_GB2312" w:cs="仿宋_GB2312"/>
                <w:b w:val="0"/>
                <w:bCs/>
                <w:color w:val="000000"/>
                <w:spacing w:val="6"/>
                <w:szCs w:val="28"/>
                <w:lang w:val="en-US" w:eastAsia="zh-CN"/>
              </w:rPr>
              <w:t>智能OPC新青年・青年</w:t>
            </w:r>
            <w:r>
              <w:rPr>
                <w:rFonts w:hint="eastAsia" w:ascii="仿宋_GB2312" w:hAnsi="仿宋_GB2312" w:eastAsia="仿宋_GB2312" w:cs="仿宋_GB2312"/>
                <w:b w:val="0"/>
                <w:bCs/>
                <w:color w:val="000000"/>
                <w:spacing w:val="6"/>
                <w:szCs w:val="28"/>
                <w:highlight w:val="none"/>
                <w:lang w:val="en-US" w:eastAsia="zh-CN"/>
              </w:rPr>
              <w:t>飞谷</w:t>
            </w:r>
            <w:r>
              <w:rPr>
                <w:rFonts w:hint="eastAsia" w:ascii="仿宋_GB2312" w:hAnsi="仿宋_GB2312" w:eastAsia="仿宋_GB2312" w:cs="仿宋_GB2312"/>
                <w:b w:val="0"/>
                <w:bCs/>
                <w:color w:val="000000"/>
                <w:spacing w:val="6"/>
                <w:szCs w:val="28"/>
                <w:lang w:val="en-US" w:eastAsia="zh-CN"/>
              </w:rPr>
              <w:t>项目</w:t>
            </w:r>
          </w:p>
        </w:tc>
      </w:tr>
      <w:tr w14:paraId="15E83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24"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C1C3814">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行业领域</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8E1A280">
            <w:pPr>
              <w:adjustRightInd w:val="0"/>
              <w:snapToGrid w:val="0"/>
              <w:jc w:val="center"/>
              <w:rPr>
                <w:rFonts w:hint="eastAsia" w:ascii="仿宋_GB2312" w:hAnsi="仿宋_GB2312" w:eastAsia="仿宋_GB2312" w:cs="仿宋_GB2312"/>
                <w:b w:val="0"/>
                <w:color w:val="000000"/>
              </w:rPr>
            </w:pPr>
            <w:r>
              <w:rPr>
                <w:rFonts w:hint="eastAsia" w:ascii="仿宋_GB2312" w:hAnsi="仿宋_GB2312" w:eastAsia="仿宋_GB2312" w:cs="仿宋_GB2312"/>
                <w:b w:val="0"/>
                <w:color w:val="000000"/>
              </w:rPr>
              <w:t>农业农村现代化、“人工智能+”</w:t>
            </w:r>
          </w:p>
        </w:tc>
      </w:tr>
      <w:tr w14:paraId="44C03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5618"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BE214CB">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题目介绍</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4C7455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为响应数字经济发展趋势，服务北京“四个中心”功能建设，特别是国际科技创新中心与高素质人才高地建设，并深入落实平谷区“青年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谷计划”对青年创新创业的扶持政策，特设立本专项培育计划。</w:t>
            </w:r>
          </w:p>
          <w:p w14:paraId="5511CEB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本计划聚焦于人工智能时代下“一人公司”（One Person Company，简称OPC）模式的创新与拓展。核心命题是：如何借助当前成熟或前沿的AI工具（如大语言模型、生成式AI、自动化智能体等），系统性地构建一个高效、可持续的“一人公司”轻量化创业模型。我们关注的是方法论、工作流与商业模式的创新，而非单一工具的使用。</w:t>
            </w:r>
          </w:p>
          <w:p w14:paraId="0B795BB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具体需求方向包括但不限于：</w:t>
            </w:r>
          </w:p>
          <w:p w14:paraId="4CA8F48D">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AI增强型单人工作流设计：设计并验证一套核心业务环节（如市场分析、产品开发、内容创作、客户服务、运营管理）由AI深度辅助或部分代理的标准化、可复用的操作流程。</w:t>
            </w:r>
          </w:p>
          <w:p w14:paraId="10B1C1D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“AI伙伴”效能评估与优化方案：针对特定细分市场或业务类型，提出评估AI工具效能、控制输出质量、降低决策风险的具体策略与验证案例。</w:t>
            </w:r>
          </w:p>
          <w:p w14:paraId="06F7C40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轻量化创业验证项目：基于上述模式，形成一个具体领域的微型创业项目方案，展示其可行性、竞争优势及成长路径。</w:t>
            </w:r>
          </w:p>
          <w:p w14:paraId="3844FB7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eastAsia="zh-CN"/>
              </w:rPr>
            </w:pPr>
            <w:r>
              <w:rPr>
                <w:rFonts w:hint="eastAsia" w:ascii="仿宋_GB2312" w:hAnsi="仿宋_GB2312" w:eastAsia="仿宋_GB2312" w:cs="仿宋_GB2312"/>
                <w:b w:val="0"/>
                <w:bCs/>
                <w:color w:val="000000"/>
                <w:spacing w:val="6"/>
                <w:szCs w:val="28"/>
                <w:lang w:val="en-US"/>
              </w:rPr>
              <w:t>我们鼓励具备跨学科思维、对AI应用与商业模式有浓厚兴趣的大学生团队揭榜。本计划旨在探索未来个体创业的新形态，优秀方案将获得“青年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谷计划”在创业指导、资源对接及潜在政策支持方面的重点关注，助力青年学子以最小初始成本验证并实现创业梦想。</w:t>
            </w:r>
          </w:p>
        </w:tc>
      </w:tr>
      <w:tr w14:paraId="3E127C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96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0992E01">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作品要求</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6496F28E">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一、 作品提交要求</w:t>
            </w:r>
          </w:p>
          <w:p w14:paraId="709FCA2F">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作品形式：提交一份完整的创业计划方案</w:t>
            </w:r>
            <w:r>
              <w:rPr>
                <w:rFonts w:hint="eastAsia" w:ascii="仿宋_GB2312" w:hAnsi="仿宋_GB2312" w:eastAsia="仿宋_GB2312" w:cs="仿宋_GB2312"/>
                <w:b w:val="0"/>
                <w:bCs/>
                <w:color w:val="000000"/>
                <w:spacing w:val="6"/>
                <w:szCs w:val="28"/>
                <w:lang w:val="en-US" w:eastAsia="zh-CN"/>
              </w:rPr>
              <w:t>及AI工作流</w:t>
            </w:r>
            <w:r>
              <w:rPr>
                <w:rFonts w:hint="eastAsia" w:ascii="仿宋_GB2312" w:hAnsi="仿宋_GB2312" w:eastAsia="仿宋_GB2312" w:cs="仿宋_GB2312"/>
                <w:b w:val="0"/>
                <w:bCs/>
                <w:color w:val="000000"/>
                <w:spacing w:val="6"/>
                <w:szCs w:val="28"/>
              </w:rPr>
              <w:t>。方案应结构清晰，逻辑严谨，核心部分必须包含：</w:t>
            </w:r>
          </w:p>
          <w:p w14:paraId="7266C6FA">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模式设计：详细阐述您所构建的AI-OPC创业模式，包括其目标市场、核心价值主张、AI工具的应用架构与工作流设计。</w:t>
            </w:r>
          </w:p>
          <w:p w14:paraId="47AC2FA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验证方案：提供如何验证该模式可行性的具体方法，例如原型演示、小规模市场测试数据、关键流程的模拟运行报告、或详细的效能对比分析。</w:t>
            </w:r>
          </w:p>
          <w:p w14:paraId="6DA3B553">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发展计划：描述该模式的短期实施步骤、中期扩展路径及潜在的商业与社会价值。</w:t>
            </w:r>
          </w:p>
          <w:p w14:paraId="6B7AE3E1">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作品格式：</w:t>
            </w:r>
          </w:p>
          <w:p w14:paraId="0E81B7DD">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主文档为PDF格式，字数不超过8000字（不含附录）。</w:t>
            </w:r>
          </w:p>
          <w:p w14:paraId="33E6C89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可提供补充材料，如演示视频（不超过5分钟）、原型系统链接、数据图表等，作为辅助说明。</w:t>
            </w:r>
          </w:p>
          <w:p w14:paraId="1D269C7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提交时间与方式：</w:t>
            </w:r>
          </w:p>
          <w:p w14:paraId="1959F16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请于【请组委会填写具体日期】前，通过大赛官方指定平台完成提交。</w:t>
            </w:r>
          </w:p>
          <w:p w14:paraId="0A4F0B36">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作品文件中不得出现学校、指导教师及团队成员姓名等任何个人信息，以确保盲审公平。</w:t>
            </w:r>
          </w:p>
          <w:p w14:paraId="3A184C4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二、 评选标准（权重）</w:t>
            </w:r>
          </w:p>
          <w:p w14:paraId="3DEB6150">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创新性（30%）：方案是否提出了新颖的AI-OPC模型、工作流或商业应用视角。对现有AI工具的组合应用方式是否具有创造性。</w:t>
            </w:r>
          </w:p>
          <w:p w14:paraId="4704D046">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可行性（30%）：方案是否具备现实创业的实践基础。技术路径是否清晰、成本是否可控、市场切入点是否明确、潜在风险是否经过考量。</w:t>
            </w:r>
          </w:p>
          <w:p w14:paraId="41AD3D97">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完整性（20%）：方案逻辑是否自洽，是否全面覆盖了模式设计、验证与发展规划等核心环节，论证过程是否充分。</w:t>
            </w:r>
          </w:p>
          <w:p w14:paraId="528DC69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成长潜力（20%）：方案所设计的模式是否具有可扩展性、可复制性，能否为社会创造积极价值（如提升个体生产力、创造新就业形态等）。</w:t>
            </w:r>
          </w:p>
          <w:p w14:paraId="7660E69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三、 重要提醒</w:t>
            </w:r>
          </w:p>
          <w:p w14:paraId="465847D9">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严禁任何形式的商业绑定：参赛方案不得包含与特定企业、品牌进行商业合作的捆绑要求，或对参赛学生设置任何赛后的商业义务。</w:t>
            </w:r>
          </w:p>
          <w:p w14:paraId="4CF7169B">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聚焦模式创新：本赛道核心是探索方法论与商业模式，而非单纯展示某一AI工具的使用技巧。请避免提交仅为某一工具应用案例或相对成熟的商业计划书复刻的方案。</w:t>
            </w:r>
          </w:p>
          <w:p w14:paraId="589D2D78">
            <w:pPr>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rPr>
              <w:t>鼓励轻量验证：提倡使用低成本或可公开获取的资源进行模式验证。方案优劣不以投资规模或技术复杂度论，而以创新思维与务实路径见长。</w:t>
            </w:r>
          </w:p>
          <w:p w14:paraId="499017F7">
            <w:pPr>
              <w:adjustRightInd w:val="0"/>
              <w:snapToGrid w:val="0"/>
              <w:ind w:firstLine="504" w:firstLineChars="200"/>
              <w:rPr>
                <w:rFonts w:hint="eastAsia" w:ascii="仿宋_GB2312" w:hAnsi="仿宋_GB2312" w:eastAsia="仿宋_GB2312" w:cs="仿宋_GB2312"/>
                <w:b w:val="0"/>
                <w:color w:val="000000"/>
              </w:rPr>
            </w:pPr>
            <w:r>
              <w:rPr>
                <w:rFonts w:hint="eastAsia" w:ascii="仿宋_GB2312" w:hAnsi="仿宋_GB2312" w:eastAsia="仿宋_GB2312" w:cs="仿宋_GB2312"/>
                <w:b w:val="0"/>
                <w:bCs/>
                <w:color w:val="000000"/>
                <w:spacing w:val="6"/>
                <w:szCs w:val="28"/>
              </w:rPr>
              <w:t>期待同学们提出具有前瞻性、可操作性、能充分展现青年智慧与创业精神的优秀方案！</w:t>
            </w:r>
          </w:p>
        </w:tc>
      </w:tr>
      <w:tr w14:paraId="1C00A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050" w:hRule="atLeast"/>
          <w:jc w:val="center"/>
        </w:trPr>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A25FA2">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lang w:eastAsia="zh-CN"/>
              </w:rPr>
            </w:pPr>
            <w:r>
              <w:rPr>
                <w:rFonts w:hint="eastAsia" w:ascii="楷体_GB2312" w:hAnsi="楷体_GB2312" w:eastAsia="楷体_GB2312" w:cs="楷体_GB2312"/>
                <w:b w:val="0"/>
                <w:color w:val="000000"/>
                <w:sz w:val="28"/>
                <w:szCs w:val="28"/>
                <w:u w:val="none"/>
              </w:rPr>
              <w:t>作品</w:t>
            </w:r>
            <w:r>
              <w:rPr>
                <w:rFonts w:hint="eastAsia" w:ascii="楷体_GB2312" w:hAnsi="楷体_GB2312" w:eastAsia="楷体_GB2312" w:cs="楷体_GB2312"/>
                <w:b w:val="0"/>
                <w:color w:val="000000"/>
                <w:sz w:val="28"/>
                <w:szCs w:val="28"/>
                <w:u w:val="none"/>
                <w:lang w:eastAsia="zh-CN"/>
              </w:rPr>
              <w:t>评审</w:t>
            </w:r>
          </w:p>
          <w:p w14:paraId="7905990F">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标准</w:t>
            </w:r>
          </w:p>
        </w:tc>
        <w:tc>
          <w:tcPr>
            <w:tcW w:w="66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E638D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保障评审的科学性、公平性与导向性，特制定以下量化评审标准。满分100分，从四个维度对参赛作品进行综合评价：</w:t>
            </w:r>
          </w:p>
          <w:p w14:paraId="43F885E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一、创新性（30分）</w:t>
            </w:r>
          </w:p>
          <w:p w14:paraId="3F017F3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评分说明：考察方案在概念、方法或应用场景上的新颖程度与独创性。</w:t>
            </w:r>
          </w:p>
          <w:p w14:paraId="3A51754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21EAFC28">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理念创新（10分）：是否提出了对AI-OPC（一人公司）模式的新定义、新见解或新的价值主张，与现有常见模式有显著区别。</w:t>
            </w:r>
          </w:p>
          <w:p w14:paraId="0CC025A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方法创新（10分）：在整合与运用AI工具构建自动化、智能化工作流方面，是否具有独特的架构设计或技术实现思路。</w:t>
            </w:r>
          </w:p>
          <w:p w14:paraId="366439B6">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场景创新（10分）：是否瞄准了新兴的、未被充分开发的细分市场或需求痛点，开拓了AI赋能个体创业的新领域。</w:t>
            </w:r>
          </w:p>
          <w:p w14:paraId="1B01625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二、可行性（30分）</w:t>
            </w:r>
          </w:p>
          <w:p w14:paraId="70F0E86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评分说明：考察方案在现实条件下的实践落地可能，包括技术、成本、市场及风险考量。</w:t>
            </w:r>
          </w:p>
          <w:p w14:paraId="03CFEF9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5C5B0B25">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技术路径清晰度（8分）：所选用的核心AI工具与技术是否明确、可获取，其应用逻辑是否阐述清晰。</w:t>
            </w:r>
          </w:p>
          <w:p w14:paraId="7F0CC492">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成本与资源可控性（8分）：启动及运营成本估算是否合理，所需资源（数据、算力等）是否在学生团队可承受或可解决的范围内。</w:t>
            </w:r>
          </w:p>
          <w:p w14:paraId="4E435FF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市场与验证可行性（8分）：目标客户或市场需求分析是否具体，提出的最小可行性验证方案（MVP）是否合理且可操作。</w:t>
            </w:r>
          </w:p>
          <w:p w14:paraId="607C14B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风险识别与应对（6分）：是否系统识别了技术、市场、运营等方面的主要风险，并提出了初步的应对策略。</w:t>
            </w:r>
          </w:p>
          <w:p w14:paraId="7818003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三、完整性（20分）</w:t>
            </w:r>
          </w:p>
          <w:p w14:paraId="7BC9CCAD">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评分说明：考察方案逻辑的严谨性、内容的完备性及论证的充分性。</w:t>
            </w:r>
          </w:p>
          <w:p w14:paraId="3EF0020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5FB28FD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结构完整性（7分）：方案是否完整包含模式设计、验证方案、发展计划等核心模块，逻辑链条是否顺畅。</w:t>
            </w:r>
          </w:p>
          <w:p w14:paraId="6B9AB599">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论证充分性（7分）：核心论点是否有数据、案例或合理的推演作为支撑，分析是否深入。</w:t>
            </w:r>
          </w:p>
          <w:p w14:paraId="1B6C6C4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表述专业性（6分）：方案文档是否结构清晰、表述规范、重点突出，辅助材料是否有效支撑核心内容。</w:t>
            </w:r>
          </w:p>
          <w:p w14:paraId="49AA1AD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四、成长潜力（20分）</w:t>
            </w:r>
          </w:p>
          <w:p w14:paraId="6F834A2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评分说明：考察方案所构建模式的可扩展性、可持续性及社会价值。</w:t>
            </w:r>
          </w:p>
          <w:p w14:paraId="6A4F1D44">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量化指标：</w:t>
            </w:r>
          </w:p>
          <w:p w14:paraId="3652B34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可扩展性与复制性（7分）：该模式是否易于在更大规模或更多领域进行复制和扩展，而不仅限于单一项目。</w:t>
            </w:r>
          </w:p>
          <w:p w14:paraId="592E3E07">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可持续发展性（7分）：商业模式是否清晰，是否具备长期的盈利潜力或自我维持的能力。</w:t>
            </w:r>
          </w:p>
          <w:p w14:paraId="74E4D8A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社会价值（6分）：项目是否对社会有积极影响，如提升个体生产力、促进灵活就业、填补市场空白等。</w:t>
            </w:r>
          </w:p>
          <w:p w14:paraId="7B88977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p>
        </w:tc>
      </w:tr>
      <w:tr w14:paraId="0C417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46" w:hRule="atLeast"/>
          <w:jc w:val="center"/>
        </w:trPr>
        <w:tc>
          <w:tcPr>
            <w:tcW w:w="183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6A23CD5">
            <w:pPr>
              <w:overflowPunct w:val="0"/>
              <w:adjustRightInd w:val="0"/>
              <w:snapToGrid w:val="0"/>
              <w:spacing w:line="240" w:lineRule="auto"/>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u w:val="none"/>
              </w:rPr>
              <w:t>其他</w:t>
            </w:r>
          </w:p>
        </w:tc>
        <w:tc>
          <w:tcPr>
            <w:tcW w:w="666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2C040D6D">
            <w:pPr>
              <w:overflowPunct w:val="0"/>
              <w:adjustRightInd w:val="0"/>
              <w:snapToGrid w:val="0"/>
              <w:ind w:firstLine="504" w:firstLineChars="200"/>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u w:val="none"/>
              </w:rPr>
              <w:t>评审将采用盲审形式，由相关领域专家、创业导师及产业代表组成的评委会，依据上述标准独立打分。最终得分将根据各维度加权计算得出。重点鼓励那些在创新性与可行性上找到最佳平衡点的作品。</w:t>
            </w:r>
          </w:p>
        </w:tc>
      </w:tr>
    </w:tbl>
    <w:p w14:paraId="221A920E">
      <w:pPr>
        <w:rPr>
          <w:rFonts w:hint="eastAsia" w:ascii="方正黑体简体" w:eastAsia="方正黑体简体"/>
          <w:bCs/>
          <w:color w:val="auto"/>
          <w:spacing w:val="6"/>
          <w:sz w:val="32"/>
          <w:szCs w:val="32"/>
        </w:rPr>
      </w:pPr>
      <w:r>
        <w:rPr>
          <w:rFonts w:hint="eastAsia" w:ascii="方正黑体简体" w:eastAsia="方正黑体简体"/>
          <w:bCs/>
          <w:color w:val="auto"/>
          <w:spacing w:val="6"/>
          <w:sz w:val="32"/>
          <w:szCs w:val="32"/>
        </w:rPr>
        <w:br w:type="page"/>
      </w:r>
    </w:p>
    <w:p w14:paraId="0A189F7F">
      <w:pPr>
        <w:tabs>
          <w:tab w:val="left" w:pos="8640"/>
        </w:tabs>
        <w:adjustRightInd w:val="0"/>
        <w:snapToGrid w:val="0"/>
        <w:spacing w:line="440" w:lineRule="exact"/>
        <w:rPr>
          <w:rFonts w:ascii="方正黑体简体" w:eastAsia="方正黑体简体"/>
          <w:bCs/>
          <w:color w:val="auto"/>
          <w:spacing w:val="6"/>
          <w:sz w:val="32"/>
          <w:szCs w:val="32"/>
        </w:rPr>
      </w:pPr>
      <w:r>
        <w:rPr>
          <w:rFonts w:hint="eastAsia" w:ascii="方正黑体简体" w:eastAsia="方正黑体简体"/>
          <w:bCs/>
          <w:color w:val="auto"/>
          <w:spacing w:val="6"/>
          <w:sz w:val="32"/>
          <w:szCs w:val="32"/>
        </w:rPr>
        <w:t>三、激励保障</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3AC238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2414"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10AA36C7">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lang w:val="en-US" w:eastAsia="zh-CN"/>
              </w:rPr>
              <w:t>保障</w:t>
            </w:r>
            <w:r>
              <w:rPr>
                <w:rFonts w:hint="eastAsia" w:ascii="楷体_GB2312" w:hAnsi="楷体_GB2312" w:eastAsia="楷体_GB2312" w:cs="楷体_GB2312"/>
                <w:b w:val="0"/>
                <w:color w:val="000000"/>
                <w:sz w:val="28"/>
                <w:szCs w:val="28"/>
              </w:rPr>
              <w:t>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0210C5F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一、实践与调研支持</w:t>
            </w:r>
          </w:p>
          <w:p w14:paraId="6765DD4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调研便利：为团队在平谷区范围内的市场调研、用户访谈等需求，提供必要的联络协调与证明支持。</w:t>
            </w:r>
          </w:p>
          <w:p w14:paraId="3D37B65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二</w:t>
            </w:r>
            <w:r>
              <w:rPr>
                <w:rFonts w:hint="eastAsia" w:ascii="仿宋_GB2312" w:hAnsi="仿宋_GB2312" w:eastAsia="仿宋_GB2312" w:cs="仿宋_GB2312"/>
                <w:b w:val="0"/>
                <w:bCs/>
                <w:color w:val="000000"/>
                <w:spacing w:val="6"/>
                <w:szCs w:val="28"/>
                <w:lang w:val="en-US"/>
              </w:rPr>
              <w:t>、智力与指导支持</w:t>
            </w:r>
          </w:p>
          <w:p w14:paraId="31DD60B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“双导师”配备：为进入决赛的团队配备“双导师”，即一名来自高校或研究机构的学术创业导师，与一名来自相关产业的实践创业导师，在方案优化、技术路径、商业模式等方面提供咨询指导。</w:t>
            </w:r>
          </w:p>
          <w:p w14:paraId="116E5E3B">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三</w:t>
            </w:r>
            <w:r>
              <w:rPr>
                <w:rFonts w:hint="eastAsia" w:ascii="仿宋_GB2312" w:hAnsi="仿宋_GB2312" w:eastAsia="仿宋_GB2312" w:cs="仿宋_GB2312"/>
                <w:b w:val="0"/>
                <w:bCs/>
                <w:color w:val="000000"/>
                <w:spacing w:val="6"/>
                <w:szCs w:val="28"/>
                <w:lang w:val="en-US"/>
              </w:rPr>
              <w:t>、成果转化与持续服务</w:t>
            </w:r>
          </w:p>
          <w:p w14:paraId="2C85131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产教融合对接：对最终获奖且具有突出发展潜力的项目，主办方将积极协助其对接平谷区“青年</w:t>
            </w:r>
            <w:r>
              <w:rPr>
                <w:rFonts w:hint="eastAsia" w:ascii="仿宋_GB2312" w:hAnsi="仿宋_GB2312" w:eastAsia="仿宋_GB2312" w:cs="仿宋_GB2312"/>
                <w:b w:val="0"/>
                <w:bCs/>
                <w:color w:val="000000"/>
                <w:spacing w:val="6"/>
                <w:szCs w:val="28"/>
                <w:lang w:val="en-US" w:eastAsia="zh-CN"/>
              </w:rPr>
              <w:t>飞</w:t>
            </w:r>
            <w:r>
              <w:rPr>
                <w:rFonts w:hint="eastAsia" w:ascii="仿宋_GB2312" w:hAnsi="仿宋_GB2312" w:eastAsia="仿宋_GB2312" w:cs="仿宋_GB2312"/>
                <w:b w:val="0"/>
                <w:bCs/>
                <w:color w:val="000000"/>
                <w:spacing w:val="6"/>
                <w:szCs w:val="28"/>
                <w:lang w:val="en-US"/>
              </w:rPr>
              <w:t>谷计划”服务平台，探索进一步孵化的可能性。</w:t>
            </w:r>
          </w:p>
          <w:p w14:paraId="02B9EC47">
            <w:pPr>
              <w:adjustRightInd w:val="0"/>
              <w:snapToGrid w:val="0"/>
              <w:ind w:firstLine="504" w:firstLineChars="200"/>
              <w:jc w:val="both"/>
              <w:rPr>
                <w:rFonts w:hint="eastAsia" w:ascii="仿宋_GB2312" w:hAnsi="仿宋_GB2312" w:eastAsia="仿宋_GB2312" w:cs="仿宋_GB2312"/>
                <w:b w:val="0"/>
                <w:bCs/>
                <w:color w:val="000000"/>
                <w:spacing w:val="6"/>
                <w:szCs w:val="28"/>
              </w:rPr>
            </w:pPr>
            <w:r>
              <w:rPr>
                <w:rFonts w:hint="eastAsia" w:ascii="仿宋_GB2312" w:hAnsi="仿宋_GB2312" w:eastAsia="仿宋_GB2312" w:cs="仿宋_GB2312"/>
                <w:b w:val="0"/>
                <w:bCs/>
                <w:color w:val="000000"/>
                <w:spacing w:val="6"/>
                <w:szCs w:val="28"/>
                <w:lang w:val="en-US" w:eastAsia="zh-CN"/>
              </w:rPr>
              <w:t>四、</w:t>
            </w:r>
            <w:r>
              <w:rPr>
                <w:rFonts w:hint="eastAsia" w:ascii="仿宋_GB2312" w:hAnsi="仿宋_GB2312" w:eastAsia="仿宋_GB2312" w:cs="仿宋_GB2312"/>
                <w:b w:val="0"/>
                <w:bCs/>
                <w:color w:val="000000"/>
                <w:spacing w:val="6"/>
                <w:szCs w:val="28"/>
                <w:lang w:val="en-US"/>
              </w:rPr>
              <w:t>政策咨询服务：为有意向落地实践的团队，提供关于平谷区创业扶持、人才奖励、贷款担保等政策的解读与申请指引服务。</w:t>
            </w:r>
          </w:p>
        </w:tc>
      </w:tr>
      <w:tr w14:paraId="3B996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57" w:type="dxa"/>
            <w:bottom w:w="57" w:type="dxa"/>
            <w:right w:w="57" w:type="dxa"/>
          </w:tblCellMar>
        </w:tblPrEx>
        <w:trPr>
          <w:trHeight w:val="962" w:hRule="atLeast"/>
          <w:jc w:val="center"/>
        </w:trPr>
        <w:tc>
          <w:tcPr>
            <w:tcW w:w="1815"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4DDD89FC">
            <w:pPr>
              <w:adjustRightInd w:val="0"/>
              <w:snapToGrid w:val="0"/>
              <w:spacing w:line="560" w:lineRule="exact"/>
              <w:jc w:val="center"/>
              <w:rPr>
                <w:rFonts w:hint="eastAsia" w:ascii="楷体_GB2312" w:hAnsi="楷体_GB2312" w:eastAsia="楷体_GB2312" w:cs="楷体_GB2312"/>
                <w:b w:val="0"/>
                <w:color w:val="000000"/>
                <w:sz w:val="28"/>
                <w:szCs w:val="28"/>
              </w:rPr>
            </w:pPr>
            <w:r>
              <w:rPr>
                <w:rFonts w:hint="eastAsia" w:ascii="楷体_GB2312" w:hAnsi="楷体_GB2312" w:eastAsia="楷体_GB2312" w:cs="楷体_GB2312"/>
                <w:b w:val="0"/>
                <w:color w:val="000000"/>
                <w:sz w:val="28"/>
                <w:szCs w:val="28"/>
              </w:rPr>
              <w:t>奖项设置和奖励措施</w:t>
            </w:r>
          </w:p>
        </w:tc>
        <w:tc>
          <w:tcPr>
            <w:tcW w:w="6689" w:type="dxa"/>
            <w:tcBorders>
              <w:top w:val="single" w:color="000000" w:sz="4" w:space="0"/>
              <w:left w:val="single" w:color="000000" w:sz="4" w:space="0"/>
              <w:bottom w:val="single" w:color="000000" w:sz="4" w:space="0"/>
              <w:right w:val="single" w:color="000000" w:sz="4" w:space="0"/>
              <w:tl2br w:val="nil"/>
              <w:tr2bl w:val="nil"/>
            </w:tcBorders>
            <w:shd w:val="clear" w:color="auto" w:fill="FFFFFF"/>
            <w:vAlign w:val="center"/>
          </w:tcPr>
          <w:p w14:paraId="7C310623">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 奖项设置</w:t>
            </w:r>
          </w:p>
          <w:p w14:paraId="0F7F3C6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原则上设“擂主”团队1个，</w:t>
            </w:r>
            <w:r>
              <w:rPr>
                <w:rFonts w:hint="eastAsia" w:ascii="仿宋_GB2312" w:hAnsi="仿宋_GB2312" w:eastAsia="仿宋_GB2312" w:cs="仿宋_GB2312"/>
                <w:b w:val="0"/>
                <w:bCs/>
                <w:color w:val="000000"/>
                <w:spacing w:val="6"/>
                <w:szCs w:val="28"/>
                <w:lang w:val="en-US"/>
              </w:rPr>
              <w:t>根据实际情况评出相应的特等奖、一等奖、二等奖、三等奖项目若干。</w:t>
            </w:r>
          </w:p>
          <w:p w14:paraId="04CB9CA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 激励措施</w:t>
            </w:r>
          </w:p>
          <w:p w14:paraId="5F2C67D1">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（一）</w:t>
            </w:r>
            <w:r>
              <w:rPr>
                <w:rFonts w:hint="eastAsia" w:ascii="仿宋_GB2312" w:hAnsi="仿宋_GB2312" w:eastAsia="仿宋_GB2312" w:cs="仿宋_GB2312"/>
                <w:b w:val="0"/>
                <w:bCs/>
                <w:color w:val="000000"/>
                <w:spacing w:val="6"/>
                <w:szCs w:val="28"/>
                <w:lang w:val="en-US"/>
              </w:rPr>
              <w:t xml:space="preserve"> “擂主”团队专属奖励</w:t>
            </w:r>
          </w:p>
          <w:p w14:paraId="72C59C8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擂主团队将获得以下“签约兑现”的顶级资源支持包：</w:t>
            </w:r>
          </w:p>
          <w:p w14:paraId="65F9AC7A">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创业启动包：提供价值5万元的创业服务包，包括但不限于：指定孵化器12个月免费工位、法律与财务咨询服务、知识产权申请辅助及媒体推广资源。</w:t>
            </w:r>
          </w:p>
          <w:p w14:paraId="2FA816BE">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产融对接特权：优先获得与平谷区属投资平台、产业基金的路演对接机会。</w:t>
            </w:r>
          </w:p>
          <w:p w14:paraId="2B05B52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eastAsia="zh-CN"/>
              </w:rPr>
              <w:t>（二）</w:t>
            </w:r>
            <w:r>
              <w:rPr>
                <w:rFonts w:hint="eastAsia" w:ascii="仿宋_GB2312" w:hAnsi="仿宋_GB2312" w:eastAsia="仿宋_GB2312" w:cs="仿宋_GB2312"/>
                <w:b w:val="0"/>
                <w:bCs/>
                <w:color w:val="000000"/>
                <w:spacing w:val="6"/>
                <w:szCs w:val="28"/>
                <w:lang w:val="en-US"/>
              </w:rPr>
              <w:t xml:space="preserve"> 特等奖、一等奖、二等奖、三等奖团队奖励</w:t>
            </w:r>
          </w:p>
          <w:p w14:paraId="2062A3E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所有获奖团队均将获得以下成长支持包</w:t>
            </w:r>
          </w:p>
          <w:p w14:paraId="13014402">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实习与就业保障：</w:t>
            </w:r>
          </w:p>
          <w:p w14:paraId="71347278">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孵化与培育：</w:t>
            </w:r>
          </w:p>
          <w:p w14:paraId="4552F145">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特等奖：获得6个月免费孵化工位及创业导师团为期一年的深度辅导。</w:t>
            </w:r>
          </w:p>
          <w:p w14:paraId="0D19C994">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一等奖：获得3个月免费孵化工位及创业导师定期辅导。</w:t>
            </w:r>
          </w:p>
          <w:p w14:paraId="798ABA00">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二等奖、三等奖：获得优先入驻孵化器资格及创业培训课程全席位通行证。</w:t>
            </w:r>
          </w:p>
          <w:p w14:paraId="539E9A47">
            <w:pPr>
              <w:adjustRightInd w:val="0"/>
              <w:snapToGrid w:val="0"/>
              <w:ind w:firstLine="504" w:firstLineChars="200"/>
              <w:jc w:val="both"/>
              <w:rPr>
                <w:rFonts w:hint="eastAsia" w:ascii="仿宋_GB2312" w:hAnsi="仿宋_GB2312" w:eastAsia="仿宋_GB2312" w:cs="仿宋_GB2312"/>
                <w:b w:val="0"/>
                <w:bCs/>
                <w:color w:val="000000"/>
                <w:spacing w:val="6"/>
                <w:szCs w:val="28"/>
                <w:lang w:val="en-US"/>
              </w:rPr>
            </w:pPr>
            <w:r>
              <w:rPr>
                <w:rFonts w:hint="eastAsia" w:ascii="仿宋_GB2312" w:hAnsi="仿宋_GB2312" w:eastAsia="仿宋_GB2312" w:cs="仿宋_GB2312"/>
                <w:b w:val="0"/>
                <w:bCs/>
                <w:color w:val="000000"/>
                <w:spacing w:val="6"/>
                <w:szCs w:val="28"/>
                <w:lang w:val="en-US"/>
              </w:rPr>
              <w:t>人才政策对接：获奖团队获得平谷区“青年飞谷计划”中，对应奖项等级的创业奖励、项目资助及生活补贴等政策的专项申报辅导与优先推荐。</w:t>
            </w:r>
          </w:p>
        </w:tc>
      </w:tr>
    </w:tbl>
    <w:p w14:paraId="352EF07E">
      <w:pPr>
        <w:tabs>
          <w:tab w:val="left" w:pos="8640"/>
        </w:tabs>
        <w:adjustRightInd w:val="0"/>
        <w:snapToGrid w:val="0"/>
        <w:spacing w:line="560" w:lineRule="exact"/>
        <w:rPr>
          <w:rFonts w:hint="default" w:ascii="方正黑体简体" w:eastAsia="方正黑体简体"/>
          <w:bCs/>
          <w:color w:val="auto"/>
          <w:spacing w:val="6"/>
          <w:sz w:val="32"/>
          <w:szCs w:val="32"/>
          <w:lang w:val="en-US" w:eastAsia="zh-CN"/>
        </w:rPr>
      </w:pPr>
      <w:r>
        <w:rPr>
          <w:rFonts w:hint="eastAsia" w:ascii="方正黑体简体" w:eastAsia="方正黑体简体"/>
          <w:bCs/>
          <w:color w:val="auto"/>
          <w:spacing w:val="6"/>
          <w:sz w:val="32"/>
          <w:szCs w:val="32"/>
          <w:lang w:val="en-US" w:eastAsia="zh-CN"/>
        </w:rPr>
        <w:t>四、选题意义</w:t>
      </w:r>
    </w:p>
    <w:tbl>
      <w:tblPr>
        <w:tblStyle w:val="11"/>
        <w:tblW w:w="850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Layout w:type="fixed"/>
        <w:tblCellMar>
          <w:top w:w="57" w:type="dxa"/>
          <w:left w:w="57" w:type="dxa"/>
          <w:bottom w:w="57" w:type="dxa"/>
          <w:right w:w="57" w:type="dxa"/>
        </w:tblCellMar>
      </w:tblPr>
      <w:tblGrid>
        <w:gridCol w:w="1815"/>
        <w:gridCol w:w="6689"/>
      </w:tblGrid>
      <w:tr w14:paraId="70D9A6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593" w:hRule="atLeast"/>
          <w:jc w:val="center"/>
        </w:trPr>
        <w:tc>
          <w:tcPr>
            <w:tcW w:w="1815" w:type="dxa"/>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5D7ABB78">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技术意义</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B4E1FB">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直面技术变革下的核心社会课题，探索人工智能赋能的“一人公司”（AI-OPC）模式，具有多层次的重要技术意义：</w:t>
            </w:r>
          </w:p>
          <w:p w14:paraId="6D6A5CE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该模式通过AI工具大幅降低专业服务创业门槛，使个人能高效完成编程、设计等内容生产，从而将“寻找岗位”转化为“创造岗位”，为应对就业结构性矛盾、开辟高质量灵活就业提供可实践的新路径。</w:t>
            </w:r>
          </w:p>
          <w:p w14:paraId="3BCD1ACF">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同时，本研究推动AI技术从“替代人力”转向“增强个体”，系统探索人机协同工作流，赋能单人实现团队级产出，激发微观经济主体活力，为数字经济增长培育创新单元。</w:t>
            </w:r>
          </w:p>
          <w:p w14:paraId="6061B31E">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lang w:eastAsia="zh-CN"/>
              </w:rPr>
            </w:pPr>
            <w:r>
              <w:rPr>
                <w:rFonts w:hint="eastAsia" w:ascii="仿宋_GB2312" w:hAnsi="仿宋_GB2312" w:eastAsia="仿宋_GB2312" w:cs="仿宋_GB2312"/>
                <w:b w:val="0"/>
                <w:bCs/>
                <w:color w:val="000000"/>
                <w:spacing w:val="6"/>
                <w:szCs w:val="28"/>
                <w:u w:val="none"/>
                <w:lang w:eastAsia="zh-CN"/>
              </w:rPr>
              <w:t>此外，AI-OPC模式强调战略决策、创意设计等未来人才核心能力，通过实践引导青年掌握人机协同与跨界整合技能，为国家培养适应智能经济生态的新型创业者与复合型人才。</w:t>
            </w:r>
          </w:p>
          <w:p w14:paraId="0093D29A">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lang w:eastAsia="zh-CN"/>
              </w:rPr>
              <w:t>综上，本选题不仅回应就业与产业转型的现实需求，更在技术应用范式、生产力革新与人才能力重塑方面具有探索性与前瞻性。</w:t>
            </w:r>
          </w:p>
        </w:tc>
      </w:tr>
      <w:tr w14:paraId="5CF21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blCellMar>
            <w:top w:w="57" w:type="dxa"/>
            <w:left w:w="57" w:type="dxa"/>
            <w:bottom w:w="57" w:type="dxa"/>
            <w:right w:w="57" w:type="dxa"/>
          </w:tblCellMar>
        </w:tblPrEx>
        <w:trPr>
          <w:trHeight w:val="1733" w:hRule="atLeast"/>
          <w:jc w:val="center"/>
        </w:trPr>
        <w:tc>
          <w:tcPr>
            <w:tcW w:w="18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FCBDF4">
            <w:pPr>
              <w:overflowPunct w:val="0"/>
              <w:adjustRightInd w:val="0"/>
              <w:snapToGrid w:val="0"/>
              <w:spacing w:line="240" w:lineRule="auto"/>
              <w:jc w:val="center"/>
              <w:rPr>
                <w:rFonts w:hint="eastAsia" w:ascii="楷体_GB2312" w:hAnsi="楷体_GB2312" w:eastAsia="楷体_GB2312" w:cs="楷体_GB2312"/>
                <w:b w:val="0"/>
                <w:color w:val="000000"/>
                <w:sz w:val="28"/>
                <w:szCs w:val="28"/>
                <w:u w:val="none"/>
              </w:rPr>
            </w:pPr>
            <w:r>
              <w:rPr>
                <w:rFonts w:hint="eastAsia" w:ascii="楷体_GB2312" w:hAnsi="楷体_GB2312" w:eastAsia="楷体_GB2312" w:cs="楷体_GB2312"/>
                <w:b w:val="0"/>
                <w:color w:val="000000"/>
                <w:sz w:val="28"/>
                <w:szCs w:val="28"/>
                <w:u w:val="none"/>
              </w:rPr>
              <w:t>经济社会效益</w:t>
            </w:r>
          </w:p>
        </w:tc>
        <w:tc>
          <w:tcPr>
            <w:tcW w:w="668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A53FB1">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经济效益：通过降低创业门槛，激活海量个体创造力，孵化“专精特新”微型主体，为数字经济注入新动能。该模式可作为产业链柔性补充，为中小企业提供低成本、高质量的专业服务，助推产业效率提升与数字化转型。</w:t>
            </w:r>
          </w:p>
          <w:p w14:paraId="109E500C">
            <w:pPr>
              <w:overflowPunct w:val="0"/>
              <w:adjustRightInd w:val="0"/>
              <w:snapToGrid w:val="0"/>
              <w:ind w:firstLine="504" w:firstLineChars="200"/>
              <w:rPr>
                <w:rFonts w:hint="eastAsia" w:ascii="仿宋_GB2312" w:hAnsi="仿宋_GB2312" w:eastAsia="仿宋_GB2312" w:cs="仿宋_GB2312"/>
                <w:b w:val="0"/>
                <w:bCs/>
                <w:color w:val="000000"/>
                <w:spacing w:val="6"/>
                <w:szCs w:val="28"/>
                <w:u w:val="none"/>
              </w:rPr>
            </w:pPr>
            <w:r>
              <w:rPr>
                <w:rFonts w:hint="eastAsia" w:ascii="仿宋_GB2312" w:hAnsi="仿宋_GB2312" w:eastAsia="仿宋_GB2312" w:cs="仿宋_GB2312"/>
                <w:b w:val="0"/>
                <w:bCs/>
                <w:color w:val="000000"/>
                <w:spacing w:val="6"/>
                <w:szCs w:val="28"/>
                <w:u w:val="none"/>
              </w:rPr>
              <w:t>社会效益：为青年及专业人才开辟高质量、自主性强的就业新路径，推动更充分、更体面的就业。同时，该实践将引导教育与人才评价体系更注重创新思维与人机协同能力，为区域发展吸引并培育数字化创业人才，探索智能时代生产关系的新形态。</w:t>
            </w:r>
          </w:p>
        </w:tc>
      </w:tr>
    </w:tbl>
    <w:p w14:paraId="2E0DDFBE">
      <w:pPr>
        <w:keepNext w:val="0"/>
        <w:keepLines w:val="0"/>
        <w:pageBreakBefore w:val="0"/>
        <w:widowControl w:val="0"/>
        <w:kinsoku/>
        <w:wordWrap/>
        <w:overflowPunct/>
        <w:topLinePunct w:val="0"/>
        <w:autoSpaceDE/>
        <w:autoSpaceDN/>
        <w:bidi w:val="0"/>
        <w:adjustRightInd/>
        <w:snapToGrid/>
        <w:spacing w:line="240" w:lineRule="auto"/>
        <w:ind w:firstLine="480"/>
        <w:jc w:val="both"/>
        <w:textAlignment w:val="auto"/>
        <w:rPr>
          <w:rFonts w:hint="eastAsia" w:ascii="楷体_GB2312" w:hAnsi="楷体_GB2312" w:eastAsia="楷体_GB2312" w:cs="楷体_GB2312"/>
          <w:color w:val="auto"/>
          <w:lang w:val="en-US" w:eastAsia="zh-CN"/>
        </w:rPr>
      </w:pPr>
    </w:p>
    <w:sectPr>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0B86164-3CAE-4ABC-9C6A-792B9E018FE3}"/>
  </w:font>
  <w:font w:name="黑体">
    <w:panose1 w:val="02010609060101010101"/>
    <w:charset w:val="86"/>
    <w:family w:val="auto"/>
    <w:pitch w:val="default"/>
    <w:sig w:usb0="800002BF" w:usb1="38CF7CFA" w:usb2="00000016" w:usb3="00000000" w:csb0="00040001" w:csb1="00000000"/>
    <w:embedRegular r:id="rId2" w:fontKey="{80DB205D-2357-42E8-9E35-04B46B2010B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3" w:fontKey="{D5800FD8-2775-400A-AD64-A3D93F06698A}"/>
  </w:font>
  <w:font w:name="MS Gothic">
    <w:panose1 w:val="020B0609070205080204"/>
    <w:charset w:val="80"/>
    <w:family w:val="auto"/>
    <w:pitch w:val="default"/>
    <w:sig w:usb0="E00002FF" w:usb1="6AC7FDFB" w:usb2="08000012" w:usb3="00000000" w:csb0="4002009F" w:csb1="DFD70000"/>
    <w:embedRegular r:id="rId4" w:fontKey="{7420F807-5B1E-4CC6-96F5-63076A896C7E}"/>
  </w:font>
  <w:font w:name="方正小标宋简体">
    <w:panose1 w:val="03000509000000000000"/>
    <w:charset w:val="86"/>
    <w:family w:val="auto"/>
    <w:pitch w:val="default"/>
    <w:sig w:usb0="00000001" w:usb1="080E0000" w:usb2="00000000" w:usb3="00000000" w:csb0="00040000" w:csb1="00000000"/>
    <w:embedRegular r:id="rId5" w:fontKey="{79E21F07-4C54-4976-A692-71C1CE7A26DA}"/>
  </w:font>
  <w:font w:name="方正黑体简体">
    <w:panose1 w:val="03000509000000000000"/>
    <w:charset w:val="86"/>
    <w:family w:val="auto"/>
    <w:pitch w:val="default"/>
    <w:sig w:usb0="00000001" w:usb1="080E0000" w:usb2="00000000" w:usb3="00000000" w:csb0="00040000" w:csb1="00000000"/>
    <w:embedRegular r:id="rId6" w:fontKey="{F7F228AF-DB7A-456F-98C4-CF387A4910CB}"/>
  </w:font>
  <w:font w:name="楷体_GB2312">
    <w:panose1 w:val="02010609030101010101"/>
    <w:charset w:val="86"/>
    <w:family w:val="auto"/>
    <w:pitch w:val="default"/>
    <w:sig w:usb0="00000001" w:usb1="080E0000" w:usb2="00000000" w:usb3="00000000" w:csb0="00040000" w:csb1="00000000"/>
    <w:embedRegular r:id="rId7" w:fontKey="{EC3DB456-3FA1-400F-8490-2E0FB69949B8}"/>
  </w:font>
  <w:font w:name="方正仿宋简体">
    <w:panose1 w:val="03000509000000000000"/>
    <w:charset w:val="86"/>
    <w:family w:val="auto"/>
    <w:pitch w:val="default"/>
    <w:sig w:usb0="00000001" w:usb1="080E0000" w:usb2="00000000" w:usb3="00000000" w:csb0="00040000" w:csb1="00000000"/>
    <w:embedRegular r:id="rId8" w:fontKey="{7982E594-EF27-4118-B8B3-F8BA9B8A34EA}"/>
  </w:font>
  <w:font w:name="方正楷体简体">
    <w:panose1 w:val="03000509000000000000"/>
    <w:charset w:val="86"/>
    <w:family w:val="script"/>
    <w:pitch w:val="default"/>
    <w:sig w:usb0="00000001" w:usb1="080E0000" w:usb2="00000000" w:usb3="00000000" w:csb0="00040000" w:csb1="00000000"/>
    <w:embedRegular r:id="rId9" w:fontKey="{8C1E53CE-205D-4907-BC70-BCB549851C6A}"/>
  </w:font>
  <w:font w:name="楷体">
    <w:panose1 w:val="02010609060101010101"/>
    <w:charset w:val="86"/>
    <w:family w:val="auto"/>
    <w:pitch w:val="default"/>
    <w:sig w:usb0="800002BF" w:usb1="38CF7CFA" w:usb2="00000016" w:usb3="00000000" w:csb0="00040001" w:csb1="00000000"/>
    <w:embedRegular r:id="rId10" w:fontKey="{C16EF3CC-5E61-4185-87D6-17F601ACEC11}"/>
  </w:font>
  <w:font w:name="华文楷体">
    <w:panose1 w:val="02010600040101010101"/>
    <w:charset w:val="86"/>
    <w:family w:val="auto"/>
    <w:pitch w:val="default"/>
    <w:sig w:usb0="00000287" w:usb1="080F0000" w:usb2="00000000" w:usb3="00000000" w:csb0="0004009F" w:csb1="DFD70000"/>
    <w:embedRegular r:id="rId11" w:fontKey="{8B55BB4F-0828-46AB-97DF-1A2C9A5DDE5E}"/>
  </w:font>
  <w:font w:name="仿宋">
    <w:panose1 w:val="02010609060101010101"/>
    <w:charset w:val="86"/>
    <w:family w:val="modern"/>
    <w:pitch w:val="default"/>
    <w:sig w:usb0="800002BF" w:usb1="38CF7CFA" w:usb2="00000016" w:usb3="00000000" w:csb0="00040001" w:csb1="00000000"/>
    <w:embedRegular r:id="rId12" w:fontKey="{DC95630C-AFCA-4796-8DAB-4D5ECF2DF4B3}"/>
  </w:font>
  <w:font w:name="WPSEMBED1">
    <w:panose1 w:val="03000509000000000000"/>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3DB06">
    <w:pPr>
      <w:spacing w:line="173" w:lineRule="auto"/>
      <w:ind w:left="4408"/>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6CE00">
    <w:pPr>
      <w:spacing w:line="172" w:lineRule="auto"/>
      <w:ind w:left="4432"/>
      <w:rPr>
        <w:rFonts w:ascii="Times New Roman" w:hAnsi="Times New Roman" w:eastAsia="Times New Roman" w:cs="Times New Roman"/>
        <w:sz w:val="13"/>
        <w:szCs w:val="13"/>
      </w:rPr>
    </w:pPr>
    <w:r>
      <w:rPr>
        <w:rFonts w:ascii="Times New Roman" w:hAnsi="Times New Roman" w:eastAsia="Times New Roman" w:cs="Times New Roman"/>
        <w:sz w:val="13"/>
        <w:szCs w:val="13"/>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BBE5">
    <w:pPr>
      <w:spacing w:line="173" w:lineRule="auto"/>
      <w:ind w:left="4530"/>
      <w:rPr>
        <w:rFonts w:ascii="Times New Roman" w:hAnsi="Times New Roman" w:eastAsia="Times New Roman" w:cs="Times New Roman"/>
        <w:sz w:val="14"/>
        <w:szCs w:val="14"/>
      </w:rPr>
    </w:pPr>
    <w:r>
      <w:rPr>
        <w:rFonts w:ascii="Times New Roman" w:hAnsi="Times New Roman" w:eastAsia="Times New Roman" w:cs="Times New Roman"/>
        <w:sz w:val="14"/>
        <w:szCs w:val="14"/>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41F55">
    <w:pPr>
      <w:spacing w:line="173" w:lineRule="auto"/>
      <w:ind w:left="4357"/>
      <w:rPr>
        <w:rFonts w:ascii="Times New Roman" w:hAnsi="Times New Roman" w:eastAsia="Times New Roman" w:cs="Times New Roman"/>
        <w:sz w:val="14"/>
        <w:szCs w:val="14"/>
      </w:rPr>
    </w:pPr>
    <w:r>
      <w:rPr>
        <w:rFonts w:ascii="Times New Roman" w:hAnsi="Times New Roman" w:eastAsia="Times New Roman" w:cs="Times New Roman"/>
        <w:sz w:val="14"/>
        <w:szCs w:val="14"/>
      </w:rPr>
      <w:t>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FE3A2">
    <w:pPr>
      <w:spacing w:line="170" w:lineRule="auto"/>
      <w:ind w:left="4381"/>
      <w:rPr>
        <w:rFonts w:ascii="Times New Roman" w:hAnsi="Times New Roman" w:eastAsia="Times New Roman" w:cs="Times New Roman"/>
        <w:sz w:val="14"/>
        <w:szCs w:val="14"/>
      </w:rPr>
    </w:pPr>
    <w:r>
      <w:rPr>
        <w:rFonts w:ascii="Times New Roman" w:hAnsi="Times New Roman" w:eastAsia="Times New Roman" w:cs="Times New Roman"/>
        <w:sz w:val="14"/>
        <w:szCs w:val="1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4F4E0">
    <w:pPr>
      <w:pStyle w:val="6"/>
    </w:pPr>
  </w:p>
  <w:p w14:paraId="14CDF66F"/>
  <w:p w14:paraId="243DFBB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ECF3AE"/>
    <w:multiLevelType w:val="singleLevel"/>
    <w:tmpl w:val="8BECF3AE"/>
    <w:lvl w:ilvl="0" w:tentative="0">
      <w:start w:val="1"/>
      <w:numFmt w:val="decimal"/>
      <w:suff w:val="space"/>
      <w:lvlText w:val="%1."/>
      <w:lvlJc w:val="left"/>
    </w:lvl>
  </w:abstractNum>
  <w:abstractNum w:abstractNumId="1">
    <w:nsid w:val="151F89CA"/>
    <w:multiLevelType w:val="singleLevel"/>
    <w:tmpl w:val="151F89CA"/>
    <w:lvl w:ilvl="0" w:tentative="0">
      <w:start w:val="1"/>
      <w:numFmt w:val="decimal"/>
      <w:suff w:val="nothing"/>
      <w:lvlText w:val="%1、"/>
      <w:lvlJc w:val="left"/>
    </w:lvl>
  </w:abstractNum>
  <w:abstractNum w:abstractNumId="2">
    <w:nsid w:val="1A0BDD56"/>
    <w:multiLevelType w:val="singleLevel"/>
    <w:tmpl w:val="1A0BDD56"/>
    <w:lvl w:ilvl="0" w:tentative="0">
      <w:start w:val="1"/>
      <w:numFmt w:val="decimal"/>
      <w:suff w:val="nothing"/>
      <w:lvlText w:val="%1、"/>
      <w:lvlJc w:val="left"/>
    </w:lvl>
  </w:abstractNum>
  <w:abstractNum w:abstractNumId="3">
    <w:nsid w:val="2010396D"/>
    <w:multiLevelType w:val="multilevel"/>
    <w:tmpl w:val="2010396D"/>
    <w:lvl w:ilvl="0" w:tentative="0">
      <w:start w:val="1"/>
      <w:numFmt w:val="decimal"/>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4">
    <w:nsid w:val="5E9E669D"/>
    <w:multiLevelType w:val="singleLevel"/>
    <w:tmpl w:val="5E9E669D"/>
    <w:lvl w:ilvl="0" w:tentative="0">
      <w:start w:val="1"/>
      <w:numFmt w:val="decimal"/>
      <w:suff w:val="space"/>
      <w:lvlText w:val="%1."/>
      <w:lvlJc w:val="left"/>
    </w:lvl>
  </w:abstractNum>
  <w:abstractNum w:abstractNumId="5">
    <w:nsid w:val="5FFE78A0"/>
    <w:multiLevelType w:val="singleLevel"/>
    <w:tmpl w:val="5FFE78A0"/>
    <w:lvl w:ilvl="0" w:tentative="0">
      <w:start w:val="1"/>
      <w:numFmt w:val="decimal"/>
      <w:suff w:val="nothing"/>
      <w:lvlText w:val="%1、"/>
      <w:lvlJc w:val="left"/>
    </w:lvl>
  </w:abstractNum>
  <w:abstractNum w:abstractNumId="6">
    <w:nsid w:val="7F6066B9"/>
    <w:multiLevelType w:val="multilevel"/>
    <w:tmpl w:val="7F6066B9"/>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zNjBkOTgyNWQ1YTMxYzM3MzMwNWFiODNmOWIzYWMifQ=="/>
  </w:docVars>
  <w:rsids>
    <w:rsidRoot w:val="008769EE"/>
    <w:rsid w:val="000024AF"/>
    <w:rsid w:val="000056DD"/>
    <w:rsid w:val="00005D1C"/>
    <w:rsid w:val="00016504"/>
    <w:rsid w:val="00021C1D"/>
    <w:rsid w:val="000420F1"/>
    <w:rsid w:val="00057714"/>
    <w:rsid w:val="000579E3"/>
    <w:rsid w:val="000626B0"/>
    <w:rsid w:val="0007034F"/>
    <w:rsid w:val="00075C5A"/>
    <w:rsid w:val="000A6775"/>
    <w:rsid w:val="000B59FE"/>
    <w:rsid w:val="000D5792"/>
    <w:rsid w:val="000D57EF"/>
    <w:rsid w:val="000D5CE7"/>
    <w:rsid w:val="000D7253"/>
    <w:rsid w:val="0010322A"/>
    <w:rsid w:val="0011069F"/>
    <w:rsid w:val="00115043"/>
    <w:rsid w:val="00120156"/>
    <w:rsid w:val="001360CE"/>
    <w:rsid w:val="001367A9"/>
    <w:rsid w:val="00142352"/>
    <w:rsid w:val="00143054"/>
    <w:rsid w:val="001579F2"/>
    <w:rsid w:val="00164C26"/>
    <w:rsid w:val="0016564C"/>
    <w:rsid w:val="00172BF5"/>
    <w:rsid w:val="00175648"/>
    <w:rsid w:val="001A0246"/>
    <w:rsid w:val="001A6D11"/>
    <w:rsid w:val="001B0D74"/>
    <w:rsid w:val="001B2C6C"/>
    <w:rsid w:val="001C0DFA"/>
    <w:rsid w:val="001D0729"/>
    <w:rsid w:val="001D4806"/>
    <w:rsid w:val="001E741B"/>
    <w:rsid w:val="001E760D"/>
    <w:rsid w:val="001E77C2"/>
    <w:rsid w:val="001F5AC3"/>
    <w:rsid w:val="001F6CC8"/>
    <w:rsid w:val="0020086A"/>
    <w:rsid w:val="00217A97"/>
    <w:rsid w:val="0022027A"/>
    <w:rsid w:val="00236E3E"/>
    <w:rsid w:val="00255C82"/>
    <w:rsid w:val="0026569C"/>
    <w:rsid w:val="00277A57"/>
    <w:rsid w:val="00281AE9"/>
    <w:rsid w:val="00283877"/>
    <w:rsid w:val="002923C5"/>
    <w:rsid w:val="002938E3"/>
    <w:rsid w:val="002B0D40"/>
    <w:rsid w:val="002D1753"/>
    <w:rsid w:val="002D6FA5"/>
    <w:rsid w:val="002E1FDB"/>
    <w:rsid w:val="002E7BFD"/>
    <w:rsid w:val="002F7D9C"/>
    <w:rsid w:val="00341051"/>
    <w:rsid w:val="00343B96"/>
    <w:rsid w:val="00354FAF"/>
    <w:rsid w:val="00363E2D"/>
    <w:rsid w:val="003701CF"/>
    <w:rsid w:val="00371816"/>
    <w:rsid w:val="003845ED"/>
    <w:rsid w:val="00392185"/>
    <w:rsid w:val="0039481F"/>
    <w:rsid w:val="003A2D89"/>
    <w:rsid w:val="003B6C68"/>
    <w:rsid w:val="003C3AAC"/>
    <w:rsid w:val="003C68FD"/>
    <w:rsid w:val="003E007F"/>
    <w:rsid w:val="00433313"/>
    <w:rsid w:val="00455A1D"/>
    <w:rsid w:val="00463782"/>
    <w:rsid w:val="00476A7D"/>
    <w:rsid w:val="004876C3"/>
    <w:rsid w:val="00494F44"/>
    <w:rsid w:val="00496D3E"/>
    <w:rsid w:val="004A0A91"/>
    <w:rsid w:val="004A4E02"/>
    <w:rsid w:val="004B00B4"/>
    <w:rsid w:val="004B01E5"/>
    <w:rsid w:val="004D0FC5"/>
    <w:rsid w:val="004D7510"/>
    <w:rsid w:val="004E551C"/>
    <w:rsid w:val="004F3DC9"/>
    <w:rsid w:val="00500DF0"/>
    <w:rsid w:val="00507BC4"/>
    <w:rsid w:val="00521EB2"/>
    <w:rsid w:val="005269C8"/>
    <w:rsid w:val="00532B4E"/>
    <w:rsid w:val="00532F86"/>
    <w:rsid w:val="005333BA"/>
    <w:rsid w:val="0053363C"/>
    <w:rsid w:val="00550A20"/>
    <w:rsid w:val="00564E32"/>
    <w:rsid w:val="005753FB"/>
    <w:rsid w:val="00577641"/>
    <w:rsid w:val="00580524"/>
    <w:rsid w:val="00585CAC"/>
    <w:rsid w:val="005944CA"/>
    <w:rsid w:val="005A1DB0"/>
    <w:rsid w:val="005C1A80"/>
    <w:rsid w:val="005C1AAC"/>
    <w:rsid w:val="005C6ACD"/>
    <w:rsid w:val="005D33E1"/>
    <w:rsid w:val="005D5D40"/>
    <w:rsid w:val="005F221F"/>
    <w:rsid w:val="00603AF5"/>
    <w:rsid w:val="00606DA8"/>
    <w:rsid w:val="00613169"/>
    <w:rsid w:val="00613AAA"/>
    <w:rsid w:val="006226BA"/>
    <w:rsid w:val="00624B5C"/>
    <w:rsid w:val="00633F6B"/>
    <w:rsid w:val="00636F96"/>
    <w:rsid w:val="00646247"/>
    <w:rsid w:val="0066226D"/>
    <w:rsid w:val="00662D41"/>
    <w:rsid w:val="00663468"/>
    <w:rsid w:val="00693B33"/>
    <w:rsid w:val="00696378"/>
    <w:rsid w:val="006A0549"/>
    <w:rsid w:val="006A3A6E"/>
    <w:rsid w:val="006A51DF"/>
    <w:rsid w:val="006C3959"/>
    <w:rsid w:val="006C732F"/>
    <w:rsid w:val="006D5E75"/>
    <w:rsid w:val="006E6DDA"/>
    <w:rsid w:val="006F10F0"/>
    <w:rsid w:val="00703592"/>
    <w:rsid w:val="00704B08"/>
    <w:rsid w:val="0070733F"/>
    <w:rsid w:val="007168CF"/>
    <w:rsid w:val="007216F0"/>
    <w:rsid w:val="00724EAF"/>
    <w:rsid w:val="0073249A"/>
    <w:rsid w:val="00746651"/>
    <w:rsid w:val="0074676F"/>
    <w:rsid w:val="0075096A"/>
    <w:rsid w:val="00751811"/>
    <w:rsid w:val="00753ECA"/>
    <w:rsid w:val="007711FB"/>
    <w:rsid w:val="00777C79"/>
    <w:rsid w:val="00792BCA"/>
    <w:rsid w:val="007934F8"/>
    <w:rsid w:val="007C5F61"/>
    <w:rsid w:val="007F4204"/>
    <w:rsid w:val="00801614"/>
    <w:rsid w:val="008033C9"/>
    <w:rsid w:val="00805D49"/>
    <w:rsid w:val="00816F55"/>
    <w:rsid w:val="00825DE6"/>
    <w:rsid w:val="00825FD8"/>
    <w:rsid w:val="008313DD"/>
    <w:rsid w:val="008321B0"/>
    <w:rsid w:val="00846294"/>
    <w:rsid w:val="0085042E"/>
    <w:rsid w:val="00851D22"/>
    <w:rsid w:val="0086052B"/>
    <w:rsid w:val="00860FD3"/>
    <w:rsid w:val="008669B5"/>
    <w:rsid w:val="00867EEA"/>
    <w:rsid w:val="00872C0C"/>
    <w:rsid w:val="008738D4"/>
    <w:rsid w:val="008769EE"/>
    <w:rsid w:val="0088143A"/>
    <w:rsid w:val="008836AC"/>
    <w:rsid w:val="00887D7E"/>
    <w:rsid w:val="0089086B"/>
    <w:rsid w:val="008A16EE"/>
    <w:rsid w:val="008B748E"/>
    <w:rsid w:val="008C4B94"/>
    <w:rsid w:val="008D1E8D"/>
    <w:rsid w:val="008E3EE3"/>
    <w:rsid w:val="008F2FB1"/>
    <w:rsid w:val="00912ADC"/>
    <w:rsid w:val="00917F07"/>
    <w:rsid w:val="00923192"/>
    <w:rsid w:val="00931DCA"/>
    <w:rsid w:val="00932E54"/>
    <w:rsid w:val="0093518D"/>
    <w:rsid w:val="00937CB6"/>
    <w:rsid w:val="00953BA4"/>
    <w:rsid w:val="00954857"/>
    <w:rsid w:val="009632E8"/>
    <w:rsid w:val="00966187"/>
    <w:rsid w:val="009722F8"/>
    <w:rsid w:val="00984CEA"/>
    <w:rsid w:val="00987542"/>
    <w:rsid w:val="00995541"/>
    <w:rsid w:val="009E7C56"/>
    <w:rsid w:val="00A02213"/>
    <w:rsid w:val="00A0235C"/>
    <w:rsid w:val="00A0448F"/>
    <w:rsid w:val="00A21117"/>
    <w:rsid w:val="00A22759"/>
    <w:rsid w:val="00A2670B"/>
    <w:rsid w:val="00A30D68"/>
    <w:rsid w:val="00A4232F"/>
    <w:rsid w:val="00A43480"/>
    <w:rsid w:val="00A46FCF"/>
    <w:rsid w:val="00A601D5"/>
    <w:rsid w:val="00A75F29"/>
    <w:rsid w:val="00AA43F2"/>
    <w:rsid w:val="00AA7BD8"/>
    <w:rsid w:val="00AB1BF4"/>
    <w:rsid w:val="00AB47FD"/>
    <w:rsid w:val="00AC7734"/>
    <w:rsid w:val="00AD24CF"/>
    <w:rsid w:val="00AD6CFA"/>
    <w:rsid w:val="00AE66B7"/>
    <w:rsid w:val="00B37F1A"/>
    <w:rsid w:val="00B40CAF"/>
    <w:rsid w:val="00B46BCA"/>
    <w:rsid w:val="00B52CCC"/>
    <w:rsid w:val="00B66E73"/>
    <w:rsid w:val="00B67EB8"/>
    <w:rsid w:val="00B7486E"/>
    <w:rsid w:val="00B96E4E"/>
    <w:rsid w:val="00BA70BA"/>
    <w:rsid w:val="00BA7D67"/>
    <w:rsid w:val="00BD0A75"/>
    <w:rsid w:val="00BE634B"/>
    <w:rsid w:val="00BF4E2D"/>
    <w:rsid w:val="00C217F1"/>
    <w:rsid w:val="00C24C93"/>
    <w:rsid w:val="00C57018"/>
    <w:rsid w:val="00C60328"/>
    <w:rsid w:val="00C678B8"/>
    <w:rsid w:val="00C67904"/>
    <w:rsid w:val="00C71F22"/>
    <w:rsid w:val="00C720F3"/>
    <w:rsid w:val="00C82B11"/>
    <w:rsid w:val="00C94172"/>
    <w:rsid w:val="00C97BA0"/>
    <w:rsid w:val="00CA19F5"/>
    <w:rsid w:val="00CB5FAC"/>
    <w:rsid w:val="00CB6FC8"/>
    <w:rsid w:val="00CC608E"/>
    <w:rsid w:val="00CD6EE9"/>
    <w:rsid w:val="00D05DE3"/>
    <w:rsid w:val="00D23696"/>
    <w:rsid w:val="00D41F2A"/>
    <w:rsid w:val="00D474E2"/>
    <w:rsid w:val="00D47E2B"/>
    <w:rsid w:val="00D531BB"/>
    <w:rsid w:val="00D55D40"/>
    <w:rsid w:val="00D71164"/>
    <w:rsid w:val="00D8092B"/>
    <w:rsid w:val="00D826F5"/>
    <w:rsid w:val="00D920B0"/>
    <w:rsid w:val="00DB02D9"/>
    <w:rsid w:val="00DB05D8"/>
    <w:rsid w:val="00DB59F1"/>
    <w:rsid w:val="00DD1DF9"/>
    <w:rsid w:val="00DD4992"/>
    <w:rsid w:val="00DE5602"/>
    <w:rsid w:val="00DF09AA"/>
    <w:rsid w:val="00DF64DF"/>
    <w:rsid w:val="00DF78E0"/>
    <w:rsid w:val="00E01DD4"/>
    <w:rsid w:val="00E02303"/>
    <w:rsid w:val="00E1302F"/>
    <w:rsid w:val="00E13134"/>
    <w:rsid w:val="00E30024"/>
    <w:rsid w:val="00E46C70"/>
    <w:rsid w:val="00E47733"/>
    <w:rsid w:val="00E5011B"/>
    <w:rsid w:val="00E524CD"/>
    <w:rsid w:val="00E65FC6"/>
    <w:rsid w:val="00E7048E"/>
    <w:rsid w:val="00E72C07"/>
    <w:rsid w:val="00EA0B44"/>
    <w:rsid w:val="00EB1E9B"/>
    <w:rsid w:val="00EB2BDB"/>
    <w:rsid w:val="00EB4B20"/>
    <w:rsid w:val="00EB66C3"/>
    <w:rsid w:val="00EC44BC"/>
    <w:rsid w:val="00ED65A9"/>
    <w:rsid w:val="00ED683E"/>
    <w:rsid w:val="00EF3C50"/>
    <w:rsid w:val="00EF5210"/>
    <w:rsid w:val="00F10C18"/>
    <w:rsid w:val="00F256C4"/>
    <w:rsid w:val="00F26931"/>
    <w:rsid w:val="00F57CAE"/>
    <w:rsid w:val="00F669A4"/>
    <w:rsid w:val="00F713C4"/>
    <w:rsid w:val="00F73E78"/>
    <w:rsid w:val="00F74A1C"/>
    <w:rsid w:val="00F75202"/>
    <w:rsid w:val="00F855BA"/>
    <w:rsid w:val="00F86CD9"/>
    <w:rsid w:val="00F910DA"/>
    <w:rsid w:val="00FB4A99"/>
    <w:rsid w:val="00FC2914"/>
    <w:rsid w:val="00FD4C5C"/>
    <w:rsid w:val="00FF5C3F"/>
    <w:rsid w:val="011D4668"/>
    <w:rsid w:val="016E3F78"/>
    <w:rsid w:val="03101E00"/>
    <w:rsid w:val="0335375A"/>
    <w:rsid w:val="03420242"/>
    <w:rsid w:val="03803D68"/>
    <w:rsid w:val="039E6195"/>
    <w:rsid w:val="040E5D41"/>
    <w:rsid w:val="04816A57"/>
    <w:rsid w:val="051528EC"/>
    <w:rsid w:val="058A3D4B"/>
    <w:rsid w:val="05C978FD"/>
    <w:rsid w:val="0671705A"/>
    <w:rsid w:val="06732134"/>
    <w:rsid w:val="07463F1D"/>
    <w:rsid w:val="076E3AD0"/>
    <w:rsid w:val="078F2493"/>
    <w:rsid w:val="098C12D0"/>
    <w:rsid w:val="0A8F7AAE"/>
    <w:rsid w:val="0A941009"/>
    <w:rsid w:val="0B4A5469"/>
    <w:rsid w:val="0B6B3F04"/>
    <w:rsid w:val="0B6F69F0"/>
    <w:rsid w:val="0BA4215C"/>
    <w:rsid w:val="0C2028F2"/>
    <w:rsid w:val="0C645CC6"/>
    <w:rsid w:val="0C955B7E"/>
    <w:rsid w:val="0DCF4D92"/>
    <w:rsid w:val="0F78357E"/>
    <w:rsid w:val="10466E61"/>
    <w:rsid w:val="107F47F9"/>
    <w:rsid w:val="10DB3A4D"/>
    <w:rsid w:val="1202325C"/>
    <w:rsid w:val="122C1F6D"/>
    <w:rsid w:val="12E36BE9"/>
    <w:rsid w:val="13CA2B4E"/>
    <w:rsid w:val="13D06011"/>
    <w:rsid w:val="155344FA"/>
    <w:rsid w:val="156A62C2"/>
    <w:rsid w:val="15D942D4"/>
    <w:rsid w:val="161812A0"/>
    <w:rsid w:val="17413ABF"/>
    <w:rsid w:val="1A1667EC"/>
    <w:rsid w:val="1AD27C6F"/>
    <w:rsid w:val="1B112E96"/>
    <w:rsid w:val="1BD43F79"/>
    <w:rsid w:val="1C9B22E3"/>
    <w:rsid w:val="1D8D4321"/>
    <w:rsid w:val="1E504BF2"/>
    <w:rsid w:val="1F316F2E"/>
    <w:rsid w:val="1F762BAF"/>
    <w:rsid w:val="22463DDE"/>
    <w:rsid w:val="23991047"/>
    <w:rsid w:val="23B107E7"/>
    <w:rsid w:val="23B940CE"/>
    <w:rsid w:val="23CE7536"/>
    <w:rsid w:val="242F1397"/>
    <w:rsid w:val="24B65F0C"/>
    <w:rsid w:val="25B97332"/>
    <w:rsid w:val="2604714B"/>
    <w:rsid w:val="265439DF"/>
    <w:rsid w:val="26680B0E"/>
    <w:rsid w:val="276607BD"/>
    <w:rsid w:val="279C1387"/>
    <w:rsid w:val="27AD7B40"/>
    <w:rsid w:val="2958118C"/>
    <w:rsid w:val="2A85768A"/>
    <w:rsid w:val="2BC2788C"/>
    <w:rsid w:val="2D5072C9"/>
    <w:rsid w:val="2D810F9C"/>
    <w:rsid w:val="2ED43E1F"/>
    <w:rsid w:val="2EF61F5F"/>
    <w:rsid w:val="2F204D2F"/>
    <w:rsid w:val="30280776"/>
    <w:rsid w:val="30D8752B"/>
    <w:rsid w:val="30EE4C7F"/>
    <w:rsid w:val="315C2906"/>
    <w:rsid w:val="31D43E75"/>
    <w:rsid w:val="328C6939"/>
    <w:rsid w:val="33020A40"/>
    <w:rsid w:val="33D97D6F"/>
    <w:rsid w:val="347270AC"/>
    <w:rsid w:val="359C73A0"/>
    <w:rsid w:val="36160F00"/>
    <w:rsid w:val="36EC7367"/>
    <w:rsid w:val="37212A91"/>
    <w:rsid w:val="396C783F"/>
    <w:rsid w:val="397B56DC"/>
    <w:rsid w:val="39CE1AF2"/>
    <w:rsid w:val="39E74FFE"/>
    <w:rsid w:val="3A465B2C"/>
    <w:rsid w:val="3A5A5133"/>
    <w:rsid w:val="3BC02155"/>
    <w:rsid w:val="3BF7E6BF"/>
    <w:rsid w:val="3C2F4ACA"/>
    <w:rsid w:val="3C4538F8"/>
    <w:rsid w:val="3CA15E0C"/>
    <w:rsid w:val="3CD975B2"/>
    <w:rsid w:val="3D1D0DC6"/>
    <w:rsid w:val="3D7D1865"/>
    <w:rsid w:val="3DA60DBB"/>
    <w:rsid w:val="3E5D2197"/>
    <w:rsid w:val="3ED27DBD"/>
    <w:rsid w:val="3FF555A5"/>
    <w:rsid w:val="40504E9C"/>
    <w:rsid w:val="40AE0E64"/>
    <w:rsid w:val="4185378C"/>
    <w:rsid w:val="41DB68BC"/>
    <w:rsid w:val="433C7CB5"/>
    <w:rsid w:val="4364091E"/>
    <w:rsid w:val="45765175"/>
    <w:rsid w:val="45A06791"/>
    <w:rsid w:val="49ED0155"/>
    <w:rsid w:val="4A637832"/>
    <w:rsid w:val="4B9A22C6"/>
    <w:rsid w:val="4C951481"/>
    <w:rsid w:val="4D47054C"/>
    <w:rsid w:val="4EE5084A"/>
    <w:rsid w:val="4FDF2564"/>
    <w:rsid w:val="50571C9F"/>
    <w:rsid w:val="50AB003F"/>
    <w:rsid w:val="520C56AA"/>
    <w:rsid w:val="52252A23"/>
    <w:rsid w:val="52353A0A"/>
    <w:rsid w:val="52E8557B"/>
    <w:rsid w:val="53F24B50"/>
    <w:rsid w:val="54917CA5"/>
    <w:rsid w:val="560E14B9"/>
    <w:rsid w:val="565D1DDC"/>
    <w:rsid w:val="56CC27CD"/>
    <w:rsid w:val="57ED39D6"/>
    <w:rsid w:val="590A624B"/>
    <w:rsid w:val="59643501"/>
    <w:rsid w:val="597D2244"/>
    <w:rsid w:val="5A0D30B4"/>
    <w:rsid w:val="5B3429A4"/>
    <w:rsid w:val="5C146507"/>
    <w:rsid w:val="5C9D087A"/>
    <w:rsid w:val="5D35760E"/>
    <w:rsid w:val="5D5840D6"/>
    <w:rsid w:val="5F0A5047"/>
    <w:rsid w:val="604B77D4"/>
    <w:rsid w:val="619135C2"/>
    <w:rsid w:val="6228184E"/>
    <w:rsid w:val="62D04AAA"/>
    <w:rsid w:val="638402DA"/>
    <w:rsid w:val="63D148B0"/>
    <w:rsid w:val="64126E1E"/>
    <w:rsid w:val="64572560"/>
    <w:rsid w:val="645F6DF6"/>
    <w:rsid w:val="64DD2B4B"/>
    <w:rsid w:val="65BC5882"/>
    <w:rsid w:val="65F77B57"/>
    <w:rsid w:val="65FF3AA9"/>
    <w:rsid w:val="660F3D1F"/>
    <w:rsid w:val="66152ACA"/>
    <w:rsid w:val="66874860"/>
    <w:rsid w:val="68A522E2"/>
    <w:rsid w:val="68B44D24"/>
    <w:rsid w:val="69F97043"/>
    <w:rsid w:val="6B354A4D"/>
    <w:rsid w:val="6BDF6CC4"/>
    <w:rsid w:val="6E605222"/>
    <w:rsid w:val="6EC03E05"/>
    <w:rsid w:val="6FA411F6"/>
    <w:rsid w:val="6FF670D1"/>
    <w:rsid w:val="7033373D"/>
    <w:rsid w:val="707F70C6"/>
    <w:rsid w:val="70905002"/>
    <w:rsid w:val="70BB7C71"/>
    <w:rsid w:val="71B400B8"/>
    <w:rsid w:val="72EF1566"/>
    <w:rsid w:val="73412F53"/>
    <w:rsid w:val="742A7349"/>
    <w:rsid w:val="742F314F"/>
    <w:rsid w:val="748443E4"/>
    <w:rsid w:val="74F952E5"/>
    <w:rsid w:val="75483F2B"/>
    <w:rsid w:val="75834F63"/>
    <w:rsid w:val="75A628C9"/>
    <w:rsid w:val="75B36462"/>
    <w:rsid w:val="76B27622"/>
    <w:rsid w:val="780A371A"/>
    <w:rsid w:val="784521A0"/>
    <w:rsid w:val="788D1579"/>
    <w:rsid w:val="78F27591"/>
    <w:rsid w:val="7A0A3A7E"/>
    <w:rsid w:val="7A6F2A3A"/>
    <w:rsid w:val="7BBB15F0"/>
    <w:rsid w:val="7C07A0F5"/>
    <w:rsid w:val="7CD34358"/>
    <w:rsid w:val="7D460711"/>
    <w:rsid w:val="7D717185"/>
    <w:rsid w:val="7D7635FF"/>
    <w:rsid w:val="7D806E06"/>
    <w:rsid w:val="7E172803"/>
    <w:rsid w:val="7E9E66E6"/>
    <w:rsid w:val="7F207CC7"/>
    <w:rsid w:val="7F524030"/>
    <w:rsid w:val="7F75223E"/>
    <w:rsid w:val="ADB3EDF9"/>
    <w:rsid w:val="B59DAF38"/>
    <w:rsid w:val="BFBAAF01"/>
    <w:rsid w:val="D6FDEFC2"/>
    <w:rsid w:val="DFDE7D33"/>
    <w:rsid w:val="FD7EF2D2"/>
    <w:rsid w:val="FDF5A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pPr>
    <w:rPr>
      <w:rFonts w:ascii="Times New Roman" w:hAnsi="Times New Roman" w:eastAsia="Times New Roman" w:cs="Times New Roman"/>
      <w:sz w:val="24"/>
      <w:szCs w:val="24"/>
      <w:lang w:val="en-GB" w:eastAsia="zh-CN" w:bidi="ar-SA"/>
    </w:rPr>
  </w:style>
  <w:style w:type="paragraph" w:styleId="2">
    <w:name w:val="heading 3"/>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5"/>
    <w:semiHidden/>
    <w:unhideWhenUsed/>
    <w:qFormat/>
    <w:uiPriority w:val="99"/>
  </w:style>
  <w:style w:type="paragraph" w:styleId="4">
    <w:name w:val="Body Text"/>
    <w:basedOn w:val="1"/>
    <w:semiHidden/>
    <w:unhideWhenUsed/>
    <w:qFormat/>
    <w:uiPriority w:val="99"/>
    <w:pPr>
      <w:kinsoku w:val="0"/>
      <w:autoSpaceDE w:val="0"/>
      <w:autoSpaceDN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5">
    <w:name w:val="Balloon Text"/>
    <w:basedOn w:val="1"/>
    <w:link w:val="29"/>
    <w:semiHidden/>
    <w:unhideWhenUsed/>
    <w:qFormat/>
    <w:uiPriority w:val="99"/>
    <w:pPr>
      <w:ind w:firstLine="480" w:firstLineChars="200"/>
    </w:pPr>
    <w:rPr>
      <w:rFonts w:ascii="Times New Roman" w:hAnsi="Times New Roman" w:eastAsia="Times New Roman" w:cs="Times New Roman"/>
      <w:sz w:val="18"/>
      <w:szCs w:val="18"/>
    </w:rPr>
  </w:style>
  <w:style w:type="paragraph" w:styleId="6">
    <w:name w:val="footer"/>
    <w:basedOn w:val="1"/>
    <w:link w:val="19"/>
    <w:autoRedefine/>
    <w:unhideWhenUsed/>
    <w:qFormat/>
    <w:uiPriority w:val="99"/>
    <w:pPr>
      <w:widowControl w:val="0"/>
      <w:tabs>
        <w:tab w:val="center" w:pos="4153"/>
        <w:tab w:val="right" w:pos="8306"/>
      </w:tabs>
    </w:pPr>
    <w:rPr>
      <w:rFonts w:asciiTheme="minorHAnsi" w:hAnsiTheme="minorHAnsi" w:eastAsiaTheme="minorEastAsia" w:cstheme="minorBidi"/>
      <w:kern w:val="2"/>
      <w:sz w:val="18"/>
      <w:szCs w:val="18"/>
      <w:lang w:val="en-US"/>
    </w:rPr>
  </w:style>
  <w:style w:type="paragraph" w:styleId="7">
    <w:name w:val="header"/>
    <w:basedOn w:val="1"/>
    <w:link w:val="18"/>
    <w:autoRedefine/>
    <w:unhideWhenUsed/>
    <w:qFormat/>
    <w:uiPriority w:val="99"/>
    <w:pPr>
      <w:widowControl w:val="0"/>
      <w:pBdr>
        <w:bottom w:val="single" w:color="auto" w:sz="6" w:space="1"/>
      </w:pBdr>
      <w:tabs>
        <w:tab w:val="center" w:pos="4153"/>
        <w:tab w:val="right" w:pos="8306"/>
      </w:tabs>
    </w:pPr>
    <w:rPr>
      <w:rFonts w:asciiTheme="minorHAnsi" w:hAnsiTheme="minorHAnsi" w:eastAsiaTheme="minorEastAsia" w:cstheme="minorBidi"/>
      <w:kern w:val="2"/>
      <w:sz w:val="18"/>
      <w:szCs w:val="18"/>
      <w:lang w:val="en-US"/>
    </w:rPr>
  </w:style>
  <w:style w:type="paragraph" w:styleId="8">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jc w:val="left"/>
    </w:pPr>
    <w:rPr>
      <w:rFonts w:hint="eastAsia" w:ascii="宋体" w:hAnsi="宋体" w:eastAsia="宋体" w:cs="宋体"/>
      <w:kern w:val="0"/>
      <w:sz w:val="24"/>
      <w:szCs w:val="24"/>
      <w:lang w:val="en-US" w:eastAsia="zh-CN" w:bidi="ar"/>
    </w:rPr>
  </w:style>
  <w:style w:type="paragraph" w:styleId="9">
    <w:name w:val="Normal (Web)"/>
    <w:basedOn w:val="1"/>
    <w:autoRedefine/>
    <w:unhideWhenUsed/>
    <w:qFormat/>
    <w:uiPriority w:val="99"/>
    <w:pPr>
      <w:spacing w:before="100" w:beforeAutospacing="1" w:after="100" w:afterAutospacing="1"/>
    </w:pPr>
    <w:rPr>
      <w:rFonts w:ascii="宋体" w:hAnsi="宋体" w:eastAsia="宋体" w:cs="宋体"/>
    </w:rPr>
  </w:style>
  <w:style w:type="paragraph" w:styleId="10">
    <w:name w:val="annotation subject"/>
    <w:basedOn w:val="3"/>
    <w:next w:val="3"/>
    <w:link w:val="26"/>
    <w:semiHidden/>
    <w:unhideWhenUsed/>
    <w:qFormat/>
    <w:uiPriority w:val="99"/>
    <w:rPr>
      <w:b/>
      <w:bCs/>
    </w:rPr>
  </w:style>
  <w:style w:type="character" w:styleId="13">
    <w:name w:val="Strong"/>
    <w:autoRedefine/>
    <w:qFormat/>
    <w:uiPriority w:val="0"/>
    <w:rPr>
      <w:b/>
      <w:bCs/>
    </w:rPr>
  </w:style>
  <w:style w:type="character" w:styleId="14">
    <w:name w:val="FollowedHyperlink"/>
    <w:basedOn w:val="12"/>
    <w:autoRedefine/>
    <w:semiHidden/>
    <w:unhideWhenUsed/>
    <w:qFormat/>
    <w:uiPriority w:val="99"/>
    <w:rPr>
      <w:color w:val="954F72" w:themeColor="followedHyperlink"/>
      <w:u w:val="single"/>
      <w14:textFill>
        <w14:solidFill>
          <w14:schemeClr w14:val="folHlink"/>
        </w14:solidFill>
      </w14:textFill>
    </w:rPr>
  </w:style>
  <w:style w:type="character" w:styleId="15">
    <w:name w:val="Emphasis"/>
    <w:basedOn w:val="12"/>
    <w:autoRedefine/>
    <w:qFormat/>
    <w:uiPriority w:val="20"/>
    <w:rPr>
      <w:i/>
      <w:iCs/>
    </w:rPr>
  </w:style>
  <w:style w:type="character" w:styleId="16">
    <w:name w:val="Hyperlink"/>
    <w:basedOn w:val="12"/>
    <w:autoRedefine/>
    <w:unhideWhenUsed/>
    <w:qFormat/>
    <w:uiPriority w:val="99"/>
    <w:rPr>
      <w:color w:val="0563C1" w:themeColor="hyperlink"/>
      <w:u w:val="single"/>
      <w14:textFill>
        <w14:solidFill>
          <w14:schemeClr w14:val="hlink"/>
        </w14:solidFill>
      </w14:textFill>
    </w:rPr>
  </w:style>
  <w:style w:type="character" w:styleId="17">
    <w:name w:val="annotation reference"/>
    <w:basedOn w:val="12"/>
    <w:semiHidden/>
    <w:unhideWhenUsed/>
    <w:qFormat/>
    <w:uiPriority w:val="99"/>
    <w:rPr>
      <w:rFonts w:ascii="Times New Roman" w:hAnsi="Times New Roman" w:eastAsia="宋体" w:cs="Times New Roman"/>
      <w:sz w:val="21"/>
      <w:szCs w:val="21"/>
    </w:rPr>
  </w:style>
  <w:style w:type="character" w:customStyle="1" w:styleId="18">
    <w:name w:val="页眉 字符"/>
    <w:basedOn w:val="12"/>
    <w:link w:val="7"/>
    <w:autoRedefine/>
    <w:qFormat/>
    <w:uiPriority w:val="99"/>
    <w:rPr>
      <w:sz w:val="18"/>
      <w:szCs w:val="18"/>
    </w:rPr>
  </w:style>
  <w:style w:type="character" w:customStyle="1" w:styleId="19">
    <w:name w:val="页脚 字符"/>
    <w:basedOn w:val="12"/>
    <w:link w:val="6"/>
    <w:autoRedefine/>
    <w:qFormat/>
    <w:uiPriority w:val="99"/>
    <w:rPr>
      <w:sz w:val="18"/>
      <w:szCs w:val="18"/>
    </w:rPr>
  </w:style>
  <w:style w:type="character" w:customStyle="1" w:styleId="20">
    <w:name w:val="未处理的提及1"/>
    <w:basedOn w:val="12"/>
    <w:autoRedefine/>
    <w:semiHidden/>
    <w:unhideWhenUsed/>
    <w:qFormat/>
    <w:uiPriority w:val="99"/>
    <w:rPr>
      <w:color w:val="605E5C"/>
      <w:shd w:val="clear" w:color="auto" w:fill="E1DFDD"/>
    </w:rPr>
  </w:style>
  <w:style w:type="paragraph" w:styleId="21">
    <w:name w:val="List Paragraph"/>
    <w:basedOn w:val="1"/>
    <w:autoRedefine/>
    <w:qFormat/>
    <w:uiPriority w:val="34"/>
    <w:pPr>
      <w:ind w:firstLine="420" w:firstLineChars="200"/>
    </w:pPr>
  </w:style>
  <w:style w:type="character" w:customStyle="1" w:styleId="22">
    <w:name w:val="未处理的提及2"/>
    <w:basedOn w:val="12"/>
    <w:autoRedefine/>
    <w:semiHidden/>
    <w:unhideWhenUsed/>
    <w:qFormat/>
    <w:uiPriority w:val="99"/>
    <w:rPr>
      <w:color w:val="605E5C"/>
      <w:shd w:val="clear" w:color="auto" w:fill="E1DFDD"/>
    </w:rPr>
  </w:style>
  <w:style w:type="character" w:customStyle="1" w:styleId="23">
    <w:name w:val="未处理的提及3"/>
    <w:basedOn w:val="12"/>
    <w:autoRedefine/>
    <w:semiHidden/>
    <w:unhideWhenUsed/>
    <w:qFormat/>
    <w:uiPriority w:val="99"/>
    <w:rPr>
      <w:color w:val="605E5C"/>
      <w:shd w:val="clear" w:color="auto" w:fill="E1DFDD"/>
    </w:rPr>
  </w:style>
  <w:style w:type="character" w:customStyle="1" w:styleId="24">
    <w:name w:val="Unresolved Mention"/>
    <w:basedOn w:val="12"/>
    <w:autoRedefine/>
    <w:semiHidden/>
    <w:unhideWhenUsed/>
    <w:qFormat/>
    <w:uiPriority w:val="99"/>
    <w:rPr>
      <w:rFonts w:ascii="Times New Roman" w:hAnsi="Times New Roman" w:eastAsia="宋体" w:cs="Times New Roman"/>
      <w:color w:val="605E5C"/>
      <w:shd w:val="clear" w:color="auto" w:fill="E1DFDD"/>
    </w:rPr>
  </w:style>
  <w:style w:type="character" w:customStyle="1" w:styleId="25">
    <w:name w:val="批注文字 字符"/>
    <w:basedOn w:val="12"/>
    <w:link w:val="3"/>
    <w:qFormat/>
    <w:uiPriority w:val="99"/>
    <w:rPr>
      <w:rFonts w:ascii="Times New Roman" w:hAnsi="Times New Roman" w:eastAsia="宋体" w:cs="Times New Roman"/>
    </w:rPr>
  </w:style>
  <w:style w:type="character" w:customStyle="1" w:styleId="26">
    <w:name w:val="批注主题 字符"/>
    <w:basedOn w:val="25"/>
    <w:link w:val="10"/>
    <w:semiHidden/>
    <w:qFormat/>
    <w:uiPriority w:val="99"/>
    <w:rPr>
      <w:b/>
      <w:bCs/>
    </w:rPr>
  </w:style>
  <w:style w:type="table" w:customStyle="1" w:styleId="27">
    <w:name w:val="Table Normal"/>
    <w:semiHidden/>
    <w:unhideWhenUsed/>
    <w:qFormat/>
    <w:uiPriority w:val="0"/>
    <w:tblPr>
      <w:tblCellMar>
        <w:top w:w="0" w:type="dxa"/>
        <w:left w:w="0" w:type="dxa"/>
        <w:bottom w:w="0" w:type="dxa"/>
        <w:right w:w="0" w:type="dxa"/>
      </w:tblCellMar>
    </w:tblPr>
  </w:style>
  <w:style w:type="paragraph" w:customStyle="1" w:styleId="28">
    <w:name w:val="Table Text"/>
    <w:basedOn w:val="1"/>
    <w:semiHidden/>
    <w:qFormat/>
    <w:uiPriority w:val="0"/>
    <w:pPr>
      <w:kinsoku w:val="0"/>
      <w:autoSpaceDE w:val="0"/>
      <w:autoSpaceDN w:val="0"/>
      <w:spacing w:line="240" w:lineRule="auto"/>
      <w:jc w:val="left"/>
      <w:textAlignment w:val="baseline"/>
    </w:pPr>
    <w:rPr>
      <w:rFonts w:ascii="宋体" w:hAnsi="宋体" w:eastAsia="宋体" w:cs="宋体"/>
      <w:snapToGrid w:val="0"/>
      <w:color w:val="000000"/>
      <w:kern w:val="0"/>
      <w:sz w:val="25"/>
      <w:szCs w:val="25"/>
      <w:lang w:val="en-US" w:eastAsia="en-US" w:bidi="ar-SA"/>
    </w:rPr>
  </w:style>
  <w:style w:type="character" w:customStyle="1" w:styleId="29">
    <w:name w:val="批注框文本 字符"/>
    <w:basedOn w:val="12"/>
    <w:link w:val="5"/>
    <w:semiHidden/>
    <w:qFormat/>
    <w:uiPriority w:val="99"/>
    <w:rPr>
      <w:rFonts w:ascii="Times New Roman" w:hAnsi="Times New Roman" w:eastAsia="宋体" w:cs="Times New Roman"/>
      <w:sz w:val="18"/>
      <w:szCs w:val="18"/>
    </w:rPr>
  </w:style>
  <w:style w:type="paragraph" w:customStyle="1" w:styleId="30">
    <w:name w:val="Default"/>
    <w:qFormat/>
    <w:uiPriority w:val="0"/>
    <w:pPr>
      <w:widowControl w:val="0"/>
      <w:autoSpaceDE w:val="0"/>
      <w:autoSpaceDN w:val="0"/>
      <w:adjustRightInd w:val="0"/>
    </w:pPr>
    <w:rPr>
      <w:rFonts w:ascii="微软雅黑" w:hAnsi="Calibri" w:eastAsia="微软雅黑" w:cs="微软雅黑"/>
      <w:color w:val="000000"/>
      <w:sz w:val="24"/>
      <w:szCs w:val="24"/>
      <w:lang w:val="en-US" w:eastAsia="zh-CN" w:bidi="ar-SA"/>
    </w:rPr>
  </w:style>
  <w:style w:type="character" w:customStyle="1" w:styleId="31">
    <w:name w:val="font11"/>
    <w:basedOn w:val="12"/>
    <w:qFormat/>
    <w:uiPriority w:val="0"/>
    <w:rPr>
      <w:rFonts w:hint="eastAsia" w:ascii="仿宋_GB2312" w:eastAsia="仿宋_GB2312" w:cs="仿宋_GB2312"/>
      <w:color w:val="000000"/>
      <w:sz w:val="24"/>
      <w:szCs w:val="24"/>
      <w:u w:val="none"/>
    </w:rPr>
  </w:style>
  <w:style w:type="character" w:customStyle="1" w:styleId="32">
    <w:name w:val="font21"/>
    <w:basedOn w:val="12"/>
    <w:qFormat/>
    <w:uiPriority w:val="0"/>
    <w:rPr>
      <w:rFonts w:ascii="MS Gothic" w:hAnsi="MS Gothic" w:eastAsia="MS Gothic" w:cs="MS Gothic"/>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fe76dd3f-8ecf-4264-9322-99c8cd796bf9</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21970198</paraID>
      <start>12</start>
      <end>15</end>
      <status>unmodified</status>
      <modifiedWord/>
      <trackRevisions>false</trackRevisions>
    </reviewItem>
    <reviewItem>
      <errorID>f9d536b5-affa-4917-9e37-4fad4248089d</errorID>
      <errorWord>“双碳”战略</errorWord>
      <group>L1_Word</group>
      <groupName>字词问题</groupName>
      <ability>L2_Typo</ability>
      <abilityName>字词错误</abilityName>
      <candidateList>
        <item>“双碳”目标</item>
      </candidateList>
      <explain/>
      <paraID>45A25DC0</paraID>
      <start>2</start>
      <end>8</end>
      <status>unmodified</status>
      <modifiedWord/>
      <trackRevisions>false</trackRevisions>
    </reviewItem>
    <reviewItem>
      <errorID>90d5dd92-3f1b-4eea-be15-92b2a38a6c29</errorID>
      <errorWord>是否</errorWord>
      <group>L1_Word</group>
      <groupName>字词问题</groupName>
      <ability>L2_Typo</ability>
      <abilityName>字词错误</abilityName>
      <candidateList>
        <item>，</item>
      </candidateList>
      <explain/>
      <paraID>6824EA80</paraID>
      <start>13</start>
      <end>15</end>
      <status>unmodified</status>
      <modifiedWord/>
      <trackRevisions>false</trackRevisions>
    </reviewItem>
    <reviewItem>
      <errorID>97f3126c-4285-44e7-a4ad-5711ceed4980</errorID>
      <errorWord>呈现出</errorWord>
      <group>L1_Grammar</group>
      <groupName>语法问题</groupName>
      <ability>L2_Grammar</ability>
      <abilityName>语法错误</abilityName>
      <candidateList>
        <item>是否呈现出</item>
      </candidateList>
      <explain/>
      <paraID>6824EA80</paraID>
      <start>24</start>
      <end>27</end>
      <status>unmodified</status>
      <modifiedWord/>
      <trackRevisions>false</trackRevisions>
    </reviewItem>
    <reviewItem>
      <errorID>c030f12a-d93d-494a-bbfb-dfe17260462f</errorID>
      <errorWord>底主观</errorWord>
      <group>L1_Word</group>
      <groupName>字词问题</groupName>
      <ability>L2_Variant</ability>
      <abilityName>异形词</abilityName>
      <candidateList>
        <item>的主观</item>
      </candidateList>
      <explain>词汇[底主观]的规范词形写作[的主观]。</explain>
      <paraID>64B38813</paraID>
      <start>18</start>
      <end>21</end>
      <status>unmodified</status>
      <modifiedWord/>
      <trackRevisions>false</trackRevisions>
    </reviewItem>
    <reviewItem>
      <errorID>d14ebc5e-84d4-4eb3-9af0-235ebaac987b</errorID>
      <errorWord>，</errorWord>
      <group>L1_Word</group>
      <groupName>字词问题</groupName>
      <ability>L2_Typo</ability>
      <abilityName>字词错误</abilityName>
      <candidateList>
        <item>，具</item>
      </candidateList>
      <explain/>
      <paraID>1B14DD7F</paraID>
      <start>8</start>
      <end>9</end>
      <status>unmodified</status>
      <modifiedWord/>
      <trackRevisions>false</trackRevisions>
    </reviewItem>
    <reviewItem>
      <errorID>0dd4ebbf-40d0-4601-afe7-2002f7212f39</errorID>
      <errorWord>需具备</errorWord>
      <group>L1_Word</group>
      <groupName>字词问题</groupName>
      <ability>L2_Typo</ability>
      <abilityName>字词错误</abilityName>
      <candidateList>
        <item>须具备</item>
      </candidateList>
      <explain/>
      <paraID> A81FFE5</paraID>
      <start>5</start>
      <end>8</end>
      <status>unmodified</status>
      <modifiedWord/>
      <trackRevisions>false</trackRevisions>
    </reviewItem>
    <reviewItem>
      <errorID>1e1c36ef-3e75-4a75-b2db-0e5eb2f8e45d</errorID>
      <errorWord>详实</errorWord>
      <group>L1_Word</group>
      <groupName>字词问题</groupName>
      <ability>L2_Typo</ability>
      <abilityName>字词错误</abilityName>
      <candidateList>
        <item>翔实</item>
      </candidateList>
      <explain/>
      <paraID>416C15AD</paraID>
      <start>8</start>
      <end>10</end>
      <status>unmodified</status>
      <modifiedWord/>
      <trackRevisions>false</trackRevisions>
    </reviewItem>
    <reviewItem>
      <errorID>b87e0c2b-c9dd-4602-a221-32a72c051a8a</errorID>
      <errorWord>题目的</errorWord>
      <group>L1_Word</group>
      <groupName>字词问题</groupName>
      <ability>L2_Typo</ability>
      <abilityName>字词错误</abilityName>
      <candidateList>
        <item>题目</item>
      </candidateList>
      <explain/>
      <paraID>717C7778</paraID>
      <start>52</start>
      <end>55</end>
      <status>unmodified</status>
      <modifiedWord/>
      <trackRevisions>false</trackRevisions>
    </reviewItem>
    <reviewItem>
      <errorID>0a866b30-2c83-4f5d-8cff-3da3164db166</errorID>
      <errorWord>进行</errorWord>
      <group>L1_Grammar</group>
      <groupName>语法问题</groupName>
      <ability>L2_Grammar</ability>
      <abilityName>语法错误</abilityName>
      <candidateList>
        <item>研究进行</item>
      </candidateList>
      <explain/>
      <paraID>717C7778</paraID>
      <start>55</start>
      <end>57</end>
      <status>unmodified</status>
      <modifiedWord/>
      <trackRevisions>false</trackRevisions>
    </reviewItem>
    <reviewItem>
      <errorID>a0d399cf-df1f-4995-86a0-4094bc10dd98</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64B1399E</paraID>
      <start>12</start>
      <end>15</end>
      <status>unmodified</status>
      <modifiedWord/>
      <trackRevisions>false</trackRevisions>
    </reviewItem>
    <reviewItem>
      <errorID>d3f36f58-5748-487d-a768-209a9766a01c</errorID>
      <errorWord>自闭症</errorWord>
      <group>L1_Knowledge</group>
      <groupName>知识性问题</groupName>
      <ability>L2_Term</ability>
      <abilityName>专业术语</abilityName>
      <candidateList>
        <item>孤独症</item>
      </candidateList>
      <explain>医学名词[自闭症]为不规范表述或旧称，其规范书面表述为[孤独症]。</explain>
      <paraID>4377FFF5</paraID>
      <start>0</start>
      <end>3</end>
      <status>unmodified</status>
      <modifiedWord/>
      <trackRevisions>false</trackRevisions>
    </reviewItem>
    <reviewItem>
      <errorID>98cc9ad8-f416-48d8-9377-6e3a8fdae38d</errorID>
      <errorWord>ASD</errorWord>
      <group>L1_Punc</group>
      <groupName>标点问题</groupName>
      <ability>L2_Punc</ability>
      <abilityName>标点符号检查</abilityName>
      <candidateList>
        <item>自闭症谱系障碍（ASD）</item>
      </candidateList>
      <explain/>
      <paraID>254E1287</paraID>
      <start>44</start>
      <end>47</end>
      <status>unmodified</status>
      <modifiedWord/>
      <trackRevisions>false</trackRevisions>
    </reviewItem>
    <reviewItem>
      <errorID>08aa0d62-e1f6-4342-9b03-283c7c698d6b</errorID>
      <errorWord>ASD</errorWord>
      <group>L1_Punc</group>
      <groupName>标点问题</groupName>
      <ability>L2_Punc</ability>
      <abilityName>标点符号检查</abilityName>
      <candidateList>
        <item>自闭症谱系障碍（ASD）</item>
      </candidateList>
      <explain/>
      <paraID>7009CE46</paraID>
      <start>4</start>
      <end>7</end>
      <status>unmodified</status>
      <modifiedWord/>
      <trackRevisions>false</trackRevisions>
    </reviewItem>
    <reviewItem>
      <errorID>ef60aa85-996b-4599-9fe0-c8e7e992736d</errorID>
      <errorWord>资 源</errorWord>
      <group>L1_Word</group>
      <groupName>字词问题</groupName>
      <ability>L2_Typo</ability>
      <abilityName>字词错误</abilityName>
      <candidateList>
        <item>资源</item>
      </candidateList>
      <explain/>
      <paraID>50590E5A</paraID>
      <start>50</start>
      <end>53</end>
      <status>unmodified</status>
      <modifiedWord/>
      <trackRevisions>false</trackRevisions>
    </reviewItem>
    <reviewItem>
      <errorID>ecf61709-91f3-414e-80d0-0ad1edf62a20</errorID>
      <errorWord>作品</errorWord>
      <group>L1_Punc</group>
      <groupName>标点问题</groupName>
      <ability>L2_Punc</ability>
      <abilityName>标点符号检查</abilityName>
      <candidateList>
        <item>，作品</item>
      </candidateList>
      <explain/>
      <paraID>1DE5F503</paraID>
      <start>6</start>
      <end>8</end>
      <status>unmodified</status>
      <modifiedWord/>
      <trackRevisions>false</trackRevisions>
    </reviewItem>
    <reviewItem>
      <errorID>80efb758-a098-4583-8222-4ad2471e8bc4</errorID>
      <errorWord>.</errorWord>
      <group>L1_Format</group>
      <groupName>格式问题</groupName>
      <ability>L2_HalfPunc</ability>
      <abilityName>全半角检查</abilityName>
      <candidateList>
        <item>。</item>
      </candidateList>
      <explain>文本全半角错误。</explain>
      <paraID>7325A92A</paraID>
      <start>10</start>
      <end>11</end>
      <status>unmodified</status>
      <modifiedWord/>
      <trackRevisions>false</trackRevisions>
    </reviewItem>
    <reviewItem>
      <errorID>5b7f90ed-2682-41bb-9c77-a190463703cc</errorID>
      <errorWord>发送到</errorWord>
      <group>L1_Word</group>
      <groupName>字词问题</groupName>
      <ability>L2_Typo</ability>
      <abilityName>字词错误</abilityName>
      <candidateList>
        <item>发送至</item>
      </candidateList>
      <explain>存在字形相近字词的误用。</explain>
      <paraID>7325A92A</paraID>
      <start>87</start>
      <end>90</end>
      <status>unmodified</status>
      <modifiedWord/>
      <trackRevisions>false</trackRevisions>
    </reviewItem>
    <reviewItem>
      <errorID>dc779959-84bb-43ce-a4fe-7d767502ae83</errorID>
      <errorWord>(</errorWord>
      <group>L1_Format</group>
      <groupName>格式问题</groupName>
      <ability>L2_HalfPunc</ability>
      <abilityName>全半角检查</abilityName>
      <candidateList>
        <item>（</item>
      </candidateList>
      <explain>文本全半角错误。</explain>
      <paraID>7325A92A</paraID>
      <start>109</start>
      <end>110</end>
      <status>modified</status>
      <modifiedWord>（</modifiedWord>
      <trackRevisions>false</trackRevisions>
    </reviewItem>
    <reviewItem>
      <errorID>cc982416-d986-40da-b35c-146dbd22e7a2</errorID>
      <errorWord>)</errorWord>
      <group>L1_Format</group>
      <groupName>格式问题</groupName>
      <ability>L2_HalfPunc</ability>
      <abilityName>全半角检查</abilityName>
      <candidateList>
        <item>）</item>
      </candidateList>
      <explain>文本全半角错误。</explain>
      <paraID>7325A92A</paraID>
      <start>139</start>
      <end>140</end>
      <status>modified</status>
      <modifiedWord>）</modifiedWord>
      <trackRevisions>false</trackRevisions>
    </reviewItem>
    <reviewItem>
      <errorID>c6a8d198-8d43-46fd-99b2-43c90efeeb6e</errorID>
      <errorWord> </errorWord>
      <group>L1_Punc</group>
      <groupName>标点问题</groupName>
      <ability>L2_Punc</ability>
      <abilityName>标点符号检查</abilityName>
      <candidateList>
        <item/>
      </candidateList>
      <explain>此处空格冗余，建议删除。</explain>
      <paraID>5C22FF93</paraID>
      <start>26</start>
      <end>26</end>
      <status>modified</status>
      <modifiedWord/>
      <trackRevisions>false</trackRevisions>
    </reviewItem>
    <reviewItem>
      <errorID>191ab854-d160-4e63-9abf-31512980bf69</errorID>
      <errorWord> 3 个</errorWord>
      <group>L1_Word</group>
      <groupName>字词问题</groupName>
      <ability>L2_Typo</ability>
      <abilityName>字词错误</abilityName>
      <candidateList>
        <item>这三个</item>
      </candidateList>
      <explain/>
      <paraID>5C22FF93</paraID>
      <start>37</start>
      <end>41</end>
      <status>unmodified</status>
      <modifiedWord/>
      <trackRevisions>false</trackRevisions>
    </reviewItem>
    <reviewItem>
      <errorID>d94935b8-dab6-451d-8a94-84934d2052f1</errorID>
      <errorWord>清晰</errorWord>
      <group>L1_Punc</group>
      <groupName>标点问题</groupName>
      <ability>L2_Punc</ability>
      <abilityName>标点符号检查</abilityName>
      <candidateList>
        <item>、清晰</item>
      </candidateList>
      <explain/>
      <paraID>46137F15</paraID>
      <start>15</start>
      <end>17</end>
      <status>unmodified</status>
      <modifiedWord/>
      <trackRevisions>false</trackRevisions>
    </reviewItem>
    <reviewItem>
      <errorID>f0f34cac-70cb-4ef0-a378-faaebd181749</errorID>
      <errorWord>可行性</errorWord>
      <group>L1_Word</group>
      <groupName>字词问题</groupName>
      <ability>L2_Typo</ability>
      <abilityName>字词错误</abilityName>
      <candidateList>
        <item>的可行性</item>
      </candidateList>
      <explain/>
      <paraID>  4D4631</paraID>
      <start>17</start>
      <end>20</end>
      <status>unmodified</status>
      <modifiedWord/>
      <trackRevisions>false</trackRevisions>
    </reviewItem>
    <reviewItem>
      <errorID>773217e8-679f-4c96-b320-afc3dedc5124</errorID>
      <errorWord>（15 分）。</errorWord>
      <group>L1_Word</group>
      <groupName>字词问题</groupName>
      <ability>L2_Typo</ability>
      <abilityName>字词错误</abilityName>
      <candidateList>
        <item>。（15 分）</item>
      </candidateList>
      <explain/>
      <paraID>32EB1884</paraID>
      <start>15</start>
      <end>22</end>
      <status>unmodified</status>
      <modifiedWord/>
      <trackRevisions>false</trackRevisions>
    </reviewItem>
    <reviewItem>
      <errorID>4379c36d-eaf8-4496-8de0-d95f95e3829d</errorID>
      <errorWord>，</errorWord>
      <group>L1_Punc</group>
      <groupName>标点问题</groupName>
      <ability>L2_Punc</ability>
      <abilityName>标点符号检查</abilityName>
      <candidateList>
        <item/>
      </candidateList>
      <explain/>
      <paraID>6C9F6597</paraID>
      <start>14</start>
      <end>14</end>
      <status>modified</status>
      <modifiedWord/>
      <trackRevisions>false</trackRevisions>
    </reviewItem>
    <reviewItem>
      <errorID>f68c4529-a1ac-45a6-88bc-6ac5fb373514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3C929BDE</paraID>
      <start>0</start>
      <end>2</end>
      <status>modified</status>
      <modifiedWord>1.</modifiedWord>
      <trackRevisions>false</trackRevisions>
    </reviewItem>
    <reviewItem>
      <errorID>0b172ea0-f248-497c-87a4-2532114ed809</errorID>
      <errorWord>协作</errorWord>
      <group>L1_Word</group>
      <groupName>字词问题</groupName>
      <ability>L2_Typo</ability>
      <abilityName>字词错误</abilityName>
      <candidateList>
        <item>协助</item>
      </candidateList>
      <explain/>
      <paraID>3C929BDE</paraID>
      <start>10</start>
      <end>12</end>
      <status>unmodified</status>
      <modifiedWord/>
      <trackRevisions>false</trackRevisions>
    </reviewItem>
    <reviewItem>
      <errorID>6f2b6415-d106-4c59-be93-4a69ddc125f1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5133E8AA</paraID>
      <start>0</start>
      <end>2</end>
      <status>modified</status>
      <modifiedWord>2.</modifiedWord>
      <trackRevisions>false</trackRevisions>
    </reviewItem>
    <reviewItem>
      <errorID>36092b5c-3f7b-4493-9b31-ebc798f724db</errorID>
      <errorWord>。。</errorWord>
      <group>L1_Punc</group>
      <groupName>标点问题</groupName>
      <ability>L2_Punc</ability>
      <abilityName>标点符号检查</abilityName>
      <candidateList>
        <item>。</item>
      </candidateList>
      <explain/>
      <paraID> FB74D0D</paraID>
      <start>218</start>
      <end>219</end>
      <status>modified</status>
      <modifiedWord>。</modifiedWord>
      <trackRevisions>false</trackRevisions>
    </reviewItem>
    <reviewItem>
      <errorID>c5400b88-2680-4a82-aa44-abc987563fbd</errorID>
      <errorWord>亟需</errorWord>
      <group>L1_Word</group>
      <groupName>字词问题</groupName>
      <ability>L2_Typo</ability>
      <abilityName>字词错误</abilityName>
      <candidateList>
        <item>亟须</item>
      </candidateList>
      <explain/>
      <paraID>75DBAC23</paraID>
      <start>35</start>
      <end>37</end>
      <status>unmodified</status>
      <modifiedWord/>
      <trackRevisions>false</trackRevisions>
    </reviewItem>
    <reviewItem>
      <errorID>e1fba289-06e3-45db-a017-d0bb7ba29289</errorID>
      <errorWord>成为了</errorWord>
      <group>L1_Word</group>
      <groupName>字词问题</groupName>
      <ability>L2_Typo</ability>
      <abilityName>字词错误</abilityName>
      <candidateList>
        <item>成为</item>
      </candidateList>
      <explain>〈动〉变成：～先进工作者。</explain>
      <paraID>75DBAC23</paraID>
      <start>72</start>
      <end>75</end>
      <status>unmodified</status>
      <modifiedWord/>
      <trackRevisions>false</trackRevisions>
    </reviewItem>
    <reviewItem>
      <errorID>cf174e86-5e7b-4322-a57b-c93c1db39d4b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4D31AAFC</paraID>
      <start>0</start>
      <end>2</end>
      <status>modified</status>
      <modifiedWord>1.</modifiedWord>
      <trackRevisions>false</trackRevisions>
    </reviewItem>
    <reviewItem>
      <errorID>d30a8270-b242-4542-b46c-790fccc27b09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5796D7A</paraID>
      <start>0</start>
      <end>2</end>
      <status>modified</status>
      <modifiedWord>2.</modifiedWord>
      <trackRevisions>false</trackRevisions>
    </reviewItem>
    <reviewItem>
      <errorID>f5a93230-c18c-4f14-84ba-d6777a4a58e2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531F4C0C</paraID>
      <start>0</start>
      <end>2</end>
      <status>modified</status>
      <modifiedWord>1.</modifiedWord>
      <trackRevisions>false</trackRevisions>
    </reviewItem>
    <reviewItem>
      <errorID>9c8d7247-348a-4137-8fa9-93017d23c6b2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72B556A7</paraID>
      <start>0</start>
      <end>2</end>
      <status>modified</status>
      <modifiedWord>2.</modifiedWord>
      <trackRevisions>false</trackRevisions>
    </reviewItem>
    <reviewItem>
      <errorID>038d4567-62fe-4c4a-a914-1e4b1fd86a03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31CA2CE5</paraID>
      <start>0</start>
      <end>2</end>
      <status>modified</status>
      <modifiedWord>3.</modifiedWord>
      <trackRevisions>false</trackRevisions>
    </reviewItem>
    <reviewItem>
      <errorID>793f4fb8-456e-4a4d-9536-2a085577bf35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34291A25</paraID>
      <start>0</start>
      <end>2</end>
      <status>modified</status>
      <modifiedWord>4.</modifiedWord>
      <trackRevisions>false</trackRevisions>
    </reviewItem>
    <reviewItem>
      <errorID>12ea7866-5074-44ea-ac81-4ef93d28c89d</errorID>
      <errorWord>和</errorWord>
      <group>L1_Word</group>
      <groupName>字词问题</groupName>
      <ability>L2_Typo</ability>
      <abilityName>字词错误</abilityName>
      <candidateList>
        <item>或</item>
      </candidateList>
      <explain/>
      <paraID>34291A25</paraID>
      <start>45</start>
      <end>46</end>
      <status>unmodified</status>
      <modifiedWord/>
      <trackRevisions>false</trackRevisions>
    </reviewItem>
    <reviewItem>
      <errorID>33270ebc-1457-430e-8d19-1c2d5a4d23b5</errorID>
      <errorWord>获奖作品</errorWord>
      <group>L1_Grammar</group>
      <groupName>语法问题</groupName>
      <ability>L2_Grammar</ability>
      <abilityName>语法错误</abilityName>
      <candidateList>
        <item>奖项</item>
      </candidateList>
      <explain/>
      <paraID>34291A25</paraID>
      <start>53</start>
      <end>57</end>
      <status>unmodified</status>
      <modifiedWord/>
      <trackRevisions>false</trackRevisions>
    </reviewItem>
    <reviewItem>
      <errorID>c0458e46-1a1c-48dc-b65e-89c2a5666ebe</errorID>
      <errorWord>、</errorWord>
      <group>L1_Punc</group>
      <groupName>标点问题</groupName>
      <ability>L2_Punc</ability>
      <abilityName>标点符号检查</abilityName>
      <candidateList>
        <item>，</item>
      </candidateList>
      <explain/>
      <paraID>46A9842B</paraID>
      <start>58</start>
      <end>59</end>
      <status>unmodified</status>
      <modifiedWord/>
      <trackRevisions>false</trackRevisions>
    </reviewItem>
    <reviewItem>
      <errorID>64365d2d-c1c9-4ba6-ac2d-abc42bf35214</errorID>
      <errorWord>、</errorWord>
      <group>L1_Punc</group>
      <groupName>标点问题</groupName>
      <ability>L2_Punc</ability>
      <abilityName>标点符号检查</abilityName>
      <candidateList>
        <item>，</item>
      </candidateList>
      <explain/>
      <paraID>46A9842B</paraID>
      <start>73</start>
      <end>74</end>
      <status>unmodified</status>
      <modifiedWord/>
      <trackRevisions>false</trackRevisions>
    </reviewItem>
    <reviewItem>
      <errorID>35f250c1-e46c-416d-a0c4-25542c7fead5</errorID>
      <errorWord>(</errorWord>
      <group>L1_Format</group>
      <groupName>格式问题</groupName>
      <ability>L2_HalfPunc</ability>
      <abilityName>全半角检查</abilityName>
      <candidateList>
        <item>（</item>
      </candidateList>
      <explain>文本全半角错误。</explain>
      <paraID>1B4F5F3A</paraID>
      <start>32</start>
      <end>33</end>
      <status>modified</status>
      <modifiedWord>（</modifiedWord>
      <trackRevisions>false</trackRevisions>
    </reviewItem>
    <reviewItem>
      <errorID>9460427f-ff9e-4b61-b8eb-d93cd21a2308</errorID>
      <errorWord>)</errorWord>
      <group>L1_Format</group>
      <groupName>格式问题</groupName>
      <ability>L2_HalfPunc</ability>
      <abilityName>全半角检查</abilityName>
      <candidateList>
        <item>）</item>
      </candidateList>
      <explain>文本全半角错误。</explain>
      <paraID>1B4F5F3A</paraID>
      <start>45</start>
      <end>46</end>
      <status>modified</status>
      <modifiedWord>）</modifiedWord>
      <trackRevisions>false</trackRevisions>
    </reviewItem>
    <reviewItem>
      <errorID>163aa541-e522-4073-93c4-9261c47f6f7c</errorID>
      <errorWord>(奖项)</errorWord>
      <group>L1_Punc</group>
      <groupName>标点问题</groupName>
      <ability>L2_Punc</ability>
      <abilityName>标点符号检查</abilityName>
      <candidateList>
        <item>（奖项）</item>
      </candidateList>
      <explain/>
      <paraID>2428F467</paraID>
      <start>12</start>
      <end>16</end>
      <status>modified</status>
      <modifiedWord>（奖项）</modifiedWord>
      <trackRevisions>false</trackRevisions>
    </reviewItem>
    <reviewItem>
      <errorID>f52a06e9-9e59-48c4-b72d-1feaf5309311</errorID>
      <errorWord>取得</errorWord>
      <group>L1_Word</group>
      <groupName>字词问题</groupName>
      <ability>L2_Typo</ability>
      <abilityName>字词错误</abilityName>
      <candidateList>
        <item>获得</item>
      </candidateList>
      <explain/>
      <paraID>2428F467</paraID>
      <start>24</start>
      <end>26</end>
      <status>unmodified</status>
      <modifiedWord/>
      <trackRevisions>false</trackRevisions>
    </reviewItem>
    <reviewItem>
      <errorID>bdfc637f-f47b-4a99-a171-0be56d2476e8</errorID>
      <errorWord>亟需</errorWord>
      <group>L1_Word</group>
      <groupName>字词问题</groupName>
      <ability>L2_Typo</ability>
      <abilityName>字词错误</abilityName>
      <candidateList>
        <item>亟须</item>
      </candidateList>
      <explain/>
      <paraID> 950A2D6</paraID>
      <start>95</start>
      <end>97</end>
      <status>unmodified</status>
      <modifiedWord/>
      <trackRevisions>false</trackRevisions>
    </reviewItem>
    <reviewItem>
      <errorID>5ef4aafb-e339-48ec-b7c7-a02861e79e21</errorID>
      <errorWord>：</errorWord>
      <group>L1_Punc</group>
      <groupName>标点问题</groupName>
      <ability>L2_Punc</ability>
      <abilityName>标点符号检查</abilityName>
      <candidateList>
        <item>，</item>
      </candidateList>
      <explain/>
      <paraID>798DFFBE</paraID>
      <start>128</start>
      <end>129</end>
      <status>modified</status>
      <modifiedWord>，</modifiedWord>
      <trackRevisions>false</trackRevisions>
    </reviewItem>
    <reviewItem>
      <errorID>38250ce7-cbdd-47c6-ad9a-f7c724f49d0b</errorID>
      <errorWord>考察</errorWord>
      <group>L1_Word</group>
      <groupName>字词问题</groupName>
      <ability>L2_Typo</ability>
      <abilityName>字词错误</abilityName>
      <candidateList>
        <item>考查</item>
      </candidateList>
      <explain>〈动〉用一定的标准来检查衡量（行为、活动）：～学生的学业成绩。</explain>
      <paraID>7F22E409</paraID>
      <start>16</start>
      <end>18</end>
      <status>unmodified</status>
      <modifiedWord/>
      <trackRevisions>false</trackRevisions>
    </reviewItem>
    <reviewItem>
      <errorID>ab9eb11c-9191-4fea-a7be-ddf8e36aad6b</errorID>
      <errorWord>(</errorWord>
      <group>L1_Format</group>
      <groupName>格式问题</groupName>
      <ability>L2_HalfPunc</ability>
      <abilityName>全半角检查</abilityName>
      <candidateList>
        <item>（</item>
      </candidateList>
      <explain>文本全半角错误。</explain>
      <paraID> BC4E4AD</paraID>
      <start>5</start>
      <end>6</end>
      <status>modified</status>
      <modifiedWord>（</modifiedWord>
      <trackRevisions>false</trackRevisions>
    </reviewItem>
    <reviewItem>
      <errorID>54dee211-9f62-46fb-80fd-0078b48ef2ab</errorID>
      <errorWord>)</errorWord>
      <group>L1_Format</group>
      <groupName>格式问题</groupName>
      <ability>L2_HalfPunc</ability>
      <abilityName>全半角检查</abilityName>
      <candidateList>
        <item>）</item>
      </candidateList>
      <explain>文本全半角错误。</explain>
      <paraID> BC4E4AD</paraID>
      <start>9</start>
      <end>10</end>
      <status>modified</status>
      <modifiedWord>）</modifiedWord>
      <trackRevisions>false</trackRevisions>
    </reviewItem>
    <reviewItem>
      <errorID>a35bf56c-825d-47d5-b34c-be03fc3f2bd6</errorID>
      <errorWord>:</errorWord>
      <group>L1_Format</group>
      <groupName>格式问题</groupName>
      <ability>L2_HalfPunc</ability>
      <abilityName>全半角检查</abilityName>
      <candidateList>
        <item>：</item>
      </candidateList>
      <explain>文本全半角错误。</explain>
      <paraID> BC4E4AD</paraID>
      <start>10</start>
      <end>11</end>
      <status>modified</status>
      <modifiedWord>：</modifiedWord>
      <trackRevisions>false</trackRevisions>
    </reviewItem>
    <reviewItem>
      <errorID>27e12582-f285-43e8-ba19-d94607fda5e7</errorID>
      <errorWord>(</errorWord>
      <group>L1_Format</group>
      <groupName>格式问题</groupName>
      <ability>L2_HalfPunc</ability>
      <abilityName>全半角检查</abilityName>
      <candidateList>
        <item>（</item>
      </candidateList>
      <explain>文本全半角错误。</explain>
      <paraID>5A40735D</paraID>
      <start>5</start>
      <end>6</end>
      <status>modified</status>
      <modifiedWord>（</modifiedWord>
      <trackRevisions>false</trackRevisions>
    </reviewItem>
    <reviewItem>
      <errorID>8e39e8bb-05a3-47a8-a334-1b570363bbca</errorID>
      <errorWord>)</errorWord>
      <group>L1_Format</group>
      <groupName>格式问题</groupName>
      <ability>L2_HalfPunc</ability>
      <abilityName>全半角检查</abilityName>
      <candidateList>
        <item>）</item>
      </candidateList>
      <explain>文本全半角错误。</explain>
      <paraID>5A40735D</paraID>
      <start>9</start>
      <end>10</end>
      <status>modified</status>
      <modifiedWord>）</modifiedWord>
      <trackRevisions>false</trackRevisions>
    </reviewItem>
    <reviewItem>
      <errorID>503e52f0-ea7e-4fd3-94d6-5b96c121e5e7</errorID>
      <errorWord>:</errorWord>
      <group>L1_Format</group>
      <groupName>格式问题</groupName>
      <ability>L2_HalfPunc</ability>
      <abilityName>全半角检查</abilityName>
      <candidateList>
        <item>：</item>
      </candidateList>
      <explain>文本全半角错误。</explain>
      <paraID>5A40735D</paraID>
      <start>10</start>
      <end>11</end>
      <status>modified</status>
      <modifiedWord>：</modifiedWord>
      <trackRevisions>false</trackRevisions>
    </reviewItem>
    <reviewItem>
      <errorID>85eec1a8-6492-405d-8e2e-ebb498d43c89</errorID>
      <errorWord>(</errorWord>
      <group>L1_Format</group>
      <groupName>格式问题</groupName>
      <ability>L2_HalfPunc</ability>
      <abilityName>全半角检查</abilityName>
      <candidateList>
        <item>（</item>
      </candidateList>
      <explain>文本全半角错误。</explain>
      <paraID>3FBCF10B</paraID>
      <start>6</start>
      <end>7</end>
      <status>modified</status>
      <modifiedWord>（</modifiedWord>
      <trackRevisions>false</trackRevisions>
    </reviewItem>
    <reviewItem>
      <errorID>457b3e02-a5d9-469a-800f-20df177b890d</errorID>
      <errorWord>)</errorWord>
      <group>L1_Format</group>
      <groupName>格式问题</groupName>
      <ability>L2_HalfPunc</ability>
      <abilityName>全半角检查</abilityName>
      <candidateList>
        <item>）</item>
      </candidateList>
      <explain>文本全半角错误。</explain>
      <paraID>3FBCF10B</paraID>
      <start>10</start>
      <end>11</end>
      <status>modified</status>
      <modifiedWord>）</modifiedWord>
      <trackRevisions>false</trackRevisions>
    </reviewItem>
    <reviewItem>
      <errorID>7a8ff748-7ffc-48fa-a0df-8addd422dddb</errorID>
      <errorWord>:</errorWord>
      <group>L1_Format</group>
      <groupName>格式问题</groupName>
      <ability>L2_HalfPunc</ability>
      <abilityName>全半角检查</abilityName>
      <candidateList>
        <item>：</item>
      </candidateList>
      <explain>文本全半角错误。</explain>
      <paraID>3FBCF10B</paraID>
      <start>11</start>
      <end>12</end>
      <status>modified</status>
      <modifiedWord>：</modifiedWord>
      <trackRevisions>false</trackRevisions>
    </reviewItem>
    <reviewItem>
      <errorID>32a1be65-44c2-43fa-a349-fd1631ac5f85</errorID>
      <errorWord>(</errorWord>
      <group>L1_Format</group>
      <groupName>格式问题</groupName>
      <ability>L2_HalfPunc</ability>
      <abilityName>全半角检查</abilityName>
      <candidateList>
        <item>（</item>
      </candidateList>
      <explain>文本全半角错误。</explain>
      <paraID>2FEAA6F9</paraID>
      <start>10</start>
      <end>11</end>
      <status>modified</status>
      <modifiedWord>（</modifiedWord>
      <trackRevisions>false</trackRevisions>
    </reviewItem>
    <reviewItem>
      <errorID>d48fd1fd-6af2-4e5a-93f5-e0149fae5daa</errorID>
      <errorWord>)</errorWord>
      <group>L1_Format</group>
      <groupName>格式问题</groupName>
      <ability>L2_HalfPunc</ability>
      <abilityName>全半角检查</abilityName>
      <candidateList>
        <item>）</item>
      </candidateList>
      <explain>文本全半角错误。</explain>
      <paraID>2FEAA6F9</paraID>
      <start>14</start>
      <end>15</end>
      <status>modified</status>
      <modifiedWord>）</modifiedWord>
      <trackRevisions>false</trackRevisions>
    </reviewItem>
    <reviewItem>
      <errorID>97a4b92e-a887-4979-9721-b8b9498603e4</errorID>
      <errorWord>:</errorWord>
      <group>L1_Format</group>
      <groupName>格式问题</groupName>
      <ability>L2_HalfPunc</ability>
      <abilityName>全半角检查</abilityName>
      <candidateList>
        <item>：</item>
      </candidateList>
      <explain>文本全半角错误。</explain>
      <paraID>2FEAA6F9</paraID>
      <start>15</start>
      <end>16</end>
      <status>modified</status>
      <modifiedWord>：</modifiedWord>
      <trackRevisions>false</trackRevisions>
    </reviewItem>
    <reviewItem>
      <errorID>7f869858-3238-4a6e-8655-8c34e09f434c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228CCAA0</paraID>
      <start>0</start>
      <end>2</end>
      <status>modified</status>
      <modifiedWord>1.</modifiedWord>
      <trackRevisions>false</trackRevisions>
    </reviewItem>
    <reviewItem>
      <errorID>1a041805-0509-432a-be26-5fc13538d2ea</errorID>
      <errorWord>，</errorWord>
      <group>L1_Punc</group>
      <groupName>标点问题</groupName>
      <ability>L2_Punc</ability>
      <abilityName>标点符号检查</abilityName>
      <candidateList>
        <item>。</item>
      </candidateList>
      <explain/>
      <paraID>5323914F</paraID>
      <start>19</start>
      <end>20</end>
      <status>modified</status>
      <modifiedWord>。</modifiedWord>
      <trackRevisions>false</trackRevisions>
    </reviewItem>
    <reviewItem>
      <errorID>c6ff5e5f-5e7e-4b8a-9731-c3dd9b1d2135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2AED3A2</paraID>
      <start>0</start>
      <end>2</end>
      <status>modified</status>
      <modifiedWord>1.</modifiedWord>
      <trackRevisions>false</trackRevisions>
    </reviewItem>
    <reviewItem>
      <errorID>57911f53-29cb-4afe-9fa0-eefce8ae38bf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2D0DFD9</paraID>
      <start>0</start>
      <end>2</end>
      <status>modified</status>
      <modifiedWord>2.</modifiedWord>
      <trackRevisions>false</trackRevisions>
    </reviewItem>
    <reviewItem>
      <errorID>79592660-3c76-4ccb-8bdc-52fc239116ed</errorID>
      <errorWord>;</errorWord>
      <group>L1_Punc</group>
      <groupName>标点问题</groupName>
      <ability>L2_Punc</ability>
      <abilityName>标点符号检查</abilityName>
      <candidateList>
        <item>；</item>
      </candidateList>
      <explain/>
      <paraID> 2D0DFD9</paraID>
      <start>33</start>
      <end>34</end>
      <status>modified</status>
      <modifiedWord>；</modifiedWord>
      <trackRevisions>false</trackRevisions>
    </reviewItem>
    <reviewItem>
      <errorID>135e7fa5-2dc3-4cb9-9101-f4384861bea6</errorID>
      <errorWord>.</errorWord>
      <group>L1_Format</group>
      <groupName>格式问题</groupName>
      <ability>L2_HalfPunc</ability>
      <abilityName>全半角检查</abilityName>
      <candidateList>
        <item>。</item>
      </candidateList>
      <explain>文本全半角错误。</explain>
      <paraID>70C1309D</paraID>
      <start>34</start>
      <end>35</end>
      <status>modified</status>
      <modifiedWord>。</modifiedWord>
      <trackRevisions>false</trackRevisions>
    </reviewItem>
    <reviewItem>
      <errorID>5bcc3339-0af5-4ea6-a34a-d9d673cc5511</errorID>
      <errorWord>将</errorWord>
      <group>L1_Grammar</group>
      <groupName>语法问题</groupName>
      <ability>L2_Grammar</ability>
      <abilityName>语法错误</abilityName>
      <candidateList>
        <item>主办方将</item>
      </candidateList>
      <explain/>
      <paraID>3775A032</paraID>
      <start>19</start>
      <end>20</end>
      <status>unmodified</status>
      <modifiedWord/>
      <trackRevisions>false</trackRevisions>
    </reviewItem>
    <reviewItem>
      <errorID>4c644597-baaf-48e1-a1d5-68047a23151a</errorID>
      <errorWord> </errorWord>
      <group>L1_Punc</group>
      <groupName>标点问题</groupName>
      <ability>L2_Punc</ability>
      <abilityName>标点符号检查</abilityName>
      <candidateList>
        <item/>
      </candidateList>
      <explain>此处空格冗余，建议删除。</explain>
      <paraID>14F43095</paraID>
      <start>0</start>
      <end>0</end>
      <status>modified</status>
      <modifiedWord/>
      <trackRevisions>false</trackRevisions>
    </reviewItem>
    <reviewItem>
      <errorID>a47a5d23-e81a-4b1d-b672-8cbe7941ecce</errorID>
      <errorWord>将</errorWord>
      <group>L1_Grammar</group>
      <groupName>语法问题</groupName>
      <ability>L2_Grammar</ability>
      <abilityName>语法错误</abilityName>
      <candidateList>
        <item>主办方将</item>
      </candidateList>
      <explain/>
      <paraID>14F43095</paraID>
      <start>7</start>
      <end>8</end>
      <status>unmodified</status>
      <modifiedWord/>
      <trackRevisions>false</trackRevisions>
    </reviewItem>
    <reviewItem>
      <errorID>095433f5-998a-4b38-a0d8-fb951f3071d1</errorID>
      <errorWord> </errorWord>
      <group>L1_Punc</group>
      <groupName>标点问题</groupName>
      <ability>L2_Punc</ability>
      <abilityName>标点符号检查</abilityName>
      <candidateList>
        <item/>
      </candidateList>
      <explain>此处空格冗余，建议删除。</explain>
      <paraID> 4DD2372</paraID>
      <start>0</start>
      <end>0</end>
      <status>modified</status>
      <modifiedWord/>
      <trackRevisions>false</trackRevisions>
    </reviewItem>
    <reviewItem>
      <errorID>426b5c2e-3609-4bb7-af32-3c5af996d78a</errorID>
      <errorWord>将</errorWord>
      <group>L1_Grammar</group>
      <groupName>语法问题</groupName>
      <ability>L2_Grammar</ability>
      <abilityName>语法错误</abilityName>
      <candidateList>
        <item>主办方将</item>
      </candidateList>
      <explain/>
      <paraID> 4DD2372</paraID>
      <start>5</start>
      <end>6</end>
      <status>unmodified</status>
      <modifiedWord/>
      <trackRevisions>false</trackRevisions>
    </reviewItem>
    <reviewItem>
      <errorID>af28803e-5b19-421f-9ce0-cd521cc7eb34</errorID>
      <errorWord> </errorWord>
      <group>L1_Punc</group>
      <groupName>标点问题</groupName>
      <ability>L2_Punc</ability>
      <abilityName>标点符号检查</abilityName>
      <candidateList>
        <item/>
      </candidateList>
      <explain>此处空格冗余，建议删除。</explain>
      <paraID>5CA73D20</paraID>
      <start>0</start>
      <end>0</end>
      <status>modified</status>
      <modifiedWord/>
      <trackRevisions>false</trackRevisions>
    </reviewItem>
    <reviewItem>
      <errorID>4a373153-f7bb-4291-bf28-ee0bda43e791</errorID>
      <errorWord>将</errorWord>
      <group>L1_Grammar</group>
      <groupName>语法问题</groupName>
      <ability>L2_Grammar</ability>
      <abilityName>语法错误</abilityName>
      <candidateList>
        <item>主办方将</item>
      </candidateList>
      <explain/>
      <paraID>5CA73D20</paraID>
      <start>9</start>
      <end>10</end>
      <status>unmodified</status>
      <modifiedWord/>
      <trackRevisions>false</trackRevisions>
    </reviewItem>
    <reviewItem>
      <errorID>5f80837b-7945-401b-b188-266d82dd7e69</errorID>
      <errorWord>，</errorWord>
      <group>L1_Punc</group>
      <groupName>标点问题</groupName>
      <ability>L2_Punc</ability>
      <abilityName>标点符号检查</abilityName>
      <candidateList>
        <item>、</item>
      </candidateList>
      <explain/>
      <paraID> 7807F72</paraID>
      <start>19</start>
      <end>20</end>
      <status>unmodified</status>
      <modifiedWord/>
      <trackRevisions>false</trackRevisions>
    </reviewItem>
    <reviewItem>
      <errorID>9fb3b174-5ebb-4a2f-af7d-2422bfdae1ed</errorID>
      <errorWord>，</errorWord>
      <group>L1_Punc</group>
      <groupName>标点问题</groupName>
      <ability>L2_Punc</ability>
      <abilityName>标点符号检查</abilityName>
      <candidateList>
        <item>、</item>
      </candidateList>
      <explain/>
      <paraID> 7807F72</paraID>
      <start>26</start>
      <end>27</end>
      <status>unmodified</status>
      <modifiedWord/>
      <trackRevisions>false</trackRevisions>
    </reviewItem>
    <reviewItem>
      <errorID>931f7635-1e0a-4373-aaf4-c08498635539</errorID>
      <errorWord> </errorWord>
      <group>L1_Punc</group>
      <groupName>标点问题</groupName>
      <ability>L2_Punc</ability>
      <abilityName>标点符号检查</abilityName>
      <candidateList>
        <item/>
      </candidateList>
      <explain>此处空格冗余，建议删除。</explain>
      <paraID>58E15194</paraID>
      <start>0</start>
      <end>0</end>
      <status>modified</status>
      <modifiedWord/>
      <trackRevisions>false</trackRevisions>
    </reviewItem>
    <reviewItem>
      <errorID>93a2c2fc-31f4-465d-9893-17fd757d298d</errorID>
      <errorWord>为</errorWord>
      <group>L1_Grammar</group>
      <groupName>语法问题</groupName>
      <ability>L2_Grammar</ability>
      <abilityName>语法错误</abilityName>
      <candidateList>
        <item>主办方将为</item>
      </candidateList>
      <explain/>
      <paraID>58E15194</paraID>
      <start>9</start>
      <end>10</end>
      <status>unmodified</status>
      <modifiedWord/>
      <trackRevisions>false</trackRevisions>
    </reviewItem>
    <reviewItem>
      <errorID>3412dfa5-e8b6-47ae-929a-e090359667ec</errorID>
      <errorWord> </errorWord>
      <group>L1_Punc</group>
      <groupName>标点问题</groupName>
      <ability>L2_Punc</ability>
      <abilityName>标点符号检查</abilityName>
      <candidateList>
        <item/>
      </candidateList>
      <explain>此处空格冗余，建议删除。</explain>
      <paraID>210B2746</paraID>
      <start>0</start>
      <end>0</end>
      <status>modified</status>
      <modifiedWord/>
      <trackRevisions>false</trackRevisions>
    </reviewItem>
    <reviewItem>
      <errorID>52ab64cc-d69b-445e-9a4f-f1eeb406d85e</errorID>
      <errorWord>为</errorWord>
      <group>L1_Grammar</group>
      <groupName>语法问题</groupName>
      <ability>L2_Grammar</ability>
      <abilityName>语法错误</abilityName>
      <candidateList>
        <item>主办方将为</item>
      </candidateList>
      <explain/>
      <paraID>210B2746</paraID>
      <start>9</start>
      <end>10</end>
      <status>unmodified</status>
      <modifiedWord/>
      <trackRevisions>false</trackRevisions>
    </reviewItem>
    <reviewItem>
      <errorID>57a06cad-e143-4d43-aa5d-34f3cec1171a</errorID>
      <errorWord>我们</errorWord>
      <group>L1_Word</group>
      <groupName>字词问题</groupName>
      <ability>L2_Typo</ability>
      <abilityName>字词错误</abilityName>
      <candidateList>
        <item>主办方</item>
      </candidateList>
      <explain/>
      <paraID>64CA06F5</paraID>
      <start>5</start>
      <end>7</end>
      <status>unmodified</status>
      <modifiedWord/>
      <trackRevisions>false</trackRevisions>
    </reviewItem>
    <reviewItem>
      <errorID>4bbefd93-118b-4630-b177-8c99dbdeeef5</errorID>
      <errorWord> </errorWord>
      <group>L1_Punc</group>
      <groupName>标点问题</groupName>
      <ability>L2_Punc</ability>
      <abilityName>标点符号检查</abilityName>
      <candidateList>
        <item/>
      </candidateList>
      <explain>此处空格冗余，建议删除。</explain>
      <paraID>453846E7</paraID>
      <start>0</start>
      <end>0</end>
      <status>modified</status>
      <modifiedWord/>
      <trackRevisions>false</trackRevisions>
    </reviewItem>
    <reviewItem>
      <errorID>cfdaabca-d331-4326-8eda-552c8ddac4c8</errorID>
      <errorWord>联系时间</errorWord>
      <group>L1_Word</group>
      <groupName>字词问题</groupName>
      <ability>L2_Typo</ability>
      <abilityName>字词错误</abilityName>
      <candidateList>
        <item>联系方式</item>
      </candidateList>
      <explain/>
      <paraID>7D7727F7</paraID>
      <start>0</start>
      <end>4</end>
      <status>unmodified</status>
      <modifiedWord/>
      <trackRevisions>false</trackRevisions>
    </reviewItem>
    <reviewItem>
      <errorID>9bcf6761-64b7-43ef-8099-c78df7dca930</errorID>
      <errorWord>加强</errorWord>
      <group>L1_Grammar</group>
      <groupName>语法问题</groupName>
      <ability>L2_Grammar</ability>
      <abilityName>语法错误</abilityName>
      <candidateList>
        <item>促进</item>
      </candidateList>
      <explain>“加强～转型”搭配不当，建议修改为“促进～转型”。</explain>
      <paraID>37F9531A</paraID>
      <start>55</start>
      <end>57</end>
      <status>unmodified</status>
      <modifiedWord/>
      <trackRevisions>false</trackRevisions>
    </reviewItem>
    <reviewItem>
      <errorID>08f67186-5fab-4ba2-adbb-e9a11366c246</errorID>
      <errorWord>产业化转型升级</errorWord>
      <group>L1_Political</group>
      <groupName>政治性问题</groupName>
      <ability>L2_Keyword</ability>
      <abilityName>固定表述</abilityName>
      <candidateList>
        <item>产业转型升级</item>
      </candidateList>
      <explain>词汇“产业转型升级”在特定场景下为固定表述形式，请确认此处的“产业化转型升级”是否存在不当。</explain>
      <paraID>37F9531A</paraID>
      <start>61</start>
      <end>68</end>
      <status>unmodified</status>
      <modifiedWord/>
      <trackRevisions>false</trackRevisions>
    </reviewItem>
    <reviewItem>
      <errorID>428950a4-4021-4138-bee3-e1940b76a32e</errorID>
      <errorWord>大约在4个小时左右</errorWord>
      <group>L1_Grammar</group>
      <groupName>语法问题</groupName>
      <ability>L2_Grammar</ability>
      <abilityName>语法错误</abilityName>
      <candidateList>
        <item>大约在4个小时</item>
      </candidateList>
      <explain/>
      <paraID> 372E3F3</paraID>
      <start>152</start>
      <end>161</end>
      <status>unmodified</status>
      <modifiedWord/>
      <trackRevisions>false</trackRevisions>
    </reviewItem>
    <reviewItem>
      <errorID>b256ec77-8a79-40bd-9ca9-641e2d779ecc</errorID>
      <errorWord>亟需</errorWord>
      <group>L1_Word</group>
      <groupName>字词问题</groupName>
      <ability>L2_Typo</ability>
      <abilityName>字词错误</abilityName>
      <candidateList>
        <item>亟须</item>
      </candidateList>
      <explain/>
      <paraID> 372E3F3</paraID>
      <start>182</start>
      <end>184</end>
      <status>unmodified</status>
      <modifiedWord/>
      <trackRevisions>false</trackRevisions>
    </reviewItem>
    <reviewItem>
      <errorID>e081c749-2e77-4de2-840e-f68e27f3e6e2</errorID>
      <errorWord>，</errorWord>
      <group>L1_Punc</group>
      <groupName>标点问题</groupName>
      <ability>L2_Punc</ability>
      <abilityName>标点符号检查</abilityName>
      <candidateList>
        <item/>
      </candidateList>
      <explain/>
      <paraID> 372E3F3</paraID>
      <start>244</start>
      <end>244</end>
      <status>modified</status>
      <modifiedWord/>
      <trackRevisions>false</trackRevisions>
    </reviewItem>
    <reviewItem>
      <errorID>c95c0b45-e6bb-48c7-a3a1-a706dda99f5f</errorID>
      <errorWord>补足</errorWord>
      <group>L1_Punc</group>
      <groupName>标点问题</groupName>
      <ability>L2_Punc</ability>
      <abilityName>标点符号检查</abilityName>
      <candidateList>
        <item>，补足</item>
      </candidateList>
      <explain/>
      <paraID> 372E3F3</paraID>
      <start>250</start>
      <end>252</end>
      <status>unmodified</status>
      <modifiedWord/>
      <trackRevisions>false</trackRevisions>
    </reviewItem>
    <reviewItem>
      <errorID>688b1be7-5015-4ae1-86e8-d93498b4e187</errorID>
      <errorWord>作为</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5BCBCF52</paraID>
      <start>15</start>
      <end>17</end>
      <status>unmodified</status>
      <modifiedWord/>
      <trackRevisions>false</trackRevisions>
    </reviewItem>
    <reviewItem>
      <errorID>29b1b55b-f97d-4b49-9470-c0625a7e7e1c</errorID>
      <errorWord>，五个维度</errorWord>
      <group>L1_Word</group>
      <groupName>字词问题</groupName>
      <ability>L2_Typo</ability>
      <abilityName>字词错误</abilityName>
      <candidateList>
        <item>五个维度，</item>
      </candidateList>
      <explain/>
      <paraID>46EF610F</paraID>
      <start>78</start>
      <end>83</end>
      <status>unmodified</status>
      <modifiedWord/>
      <trackRevisions>false</trackRevisions>
    </reviewItem>
    <reviewItem>
      <errorID>29af0c5e-8fea-4033-88b0-422db027d683</errorID>
      <errorWord>繁琐</errorWord>
      <group>L1_Word</group>
      <groupName>字词问题</groupName>
      <ability>L2_Typo</ability>
      <abilityName>字词错误</abilityName>
      <candidateList>
        <item>烦琐</item>
      </candidateList>
      <explain/>
      <paraID>65ACD1C5</paraID>
      <start>189</start>
      <end>191</end>
      <status>unmodified</status>
      <modifiedWord/>
      <trackRevisions>false</trackRevisions>
    </reviewItem>
    <reviewItem>
      <errorID>e305c2bc-3f38-4b8a-8bbe-bb05a39e4e1c</errorID>
      <errorWord>功能</errorWord>
      <group>L1_Word</group>
      <groupName>字词问题</groupName>
      <ability>L2_Typo</ability>
      <abilityName>字词错误</abilityName>
      <candidateList>
        <item>的功能</item>
      </candidateList>
      <explain/>
      <paraID>46B10C5A</paraID>
      <start>14</start>
      <end>16</end>
      <status>unmodified</status>
      <modifiedWord/>
      <trackRevisions>false</trackRevisions>
    </reviewItem>
    <reviewItem>
      <errorID>49974388-82dc-4b72-a0ce-ffe9286ebf18</errorID>
      <errorWord>体现不少于</errorWord>
      <group>L1_Grammar</group>
      <groupName>语法问题</groupName>
      <ability>L2_Grammar</ability>
      <abilityName>语法错误</abilityName>
      <candidateList>
        <item>体现</item>
      </candidateList>
      <explain/>
      <paraID>46B10C5A</paraID>
      <start>19</start>
      <end>24</end>
      <status>unmodified</status>
      <modifiedWord/>
      <trackRevisions>false</trackRevisions>
    </reviewItem>
    <reviewItem>
      <errorID>54db1299-43d4-440f-b016-0ea9e99f67f5</errorID>
      <errorWord>交互模式</errorWord>
      <group>L1_Grammar</group>
      <groupName>语法问题</groupName>
      <ability>L2_Grammar</ability>
      <abilityName>语法错误</abilityName>
      <candidateList>
        <item>交互</item>
      </candidateList>
      <explain/>
      <paraID>46B10C5A</paraID>
      <start>70</start>
      <end>74</end>
      <status>unmodified</status>
      <modifiedWord/>
      <trackRevisions>false</trackRevisions>
    </reviewItem>
    <reviewItem>
      <errorID>8b37bb97-76e5-4846-9fe9-ec440b03872d</errorID>
      <errorWord>并</errorWord>
      <group>L1_Word</group>
      <groupName>字词问题</groupName>
      <ability>L2_Typo</ability>
      <abilityName>字词错误</abilityName>
      <candidateList>
        <item>且</item>
      </candidateList>
      <explain/>
      <paraID>46B10C5A</paraID>
      <start>75</start>
      <end>76</end>
      <status>unmodified</status>
      <modifiedWord/>
      <trackRevisions>false</trackRevisions>
    </reviewItem>
    <reviewItem>
      <errorID>ae7aef1b-7b52-4a19-8ff6-145a546b1fd4</errorID>
      <errorWord>作品</errorWord>
      <group>L1_Punc</group>
      <groupName>标点问题</groupName>
      <ability>L2_Punc</ability>
      <abilityName>标点符号检查</abilityName>
      <candidateList>
        <item>. 作品</item>
      </candidateList>
      <explain/>
      <paraID>2AF21B23</paraID>
      <start>1</start>
      <end>3</end>
      <status>unmodified</status>
      <modifiedWord/>
      <trackRevisions>false</trackRevisions>
    </reviewItem>
    <reviewItem>
      <errorID>3a82f882-f646-4f62-be9b-7f755baaec7c</errorID>
      <errorWord>：</errorWord>
      <group>L1_Punc</group>
      <groupName>标点问题</groupName>
      <ability>L2_Punc</ability>
      <abilityName>标点符号检查</abilityName>
      <candidateList>
        <item>。</item>
      </candidateList>
      <explain/>
      <paraID>28C95EB2</paraID>
      <start>22</start>
      <end>23</end>
      <status>unmodified</status>
      <modifiedWord/>
      <trackRevisions>false</trackRevisions>
    </reviewItem>
    <reviewItem>
      <errorID>8206bd46-f8a7-4f87-9b4f-5294d0a9ba2b</errorID>
      <errorWord> </errorWord>
      <group>L1_Punc</group>
      <groupName>标点问题</groupName>
      <ability>L2_Punc</ability>
      <abilityName>标点符号检查</abilityName>
      <candidateList>
        <item/>
      </candidateList>
      <explain>此处空格冗余，建议删除。</explain>
      <paraID>18BDBD34</paraID>
      <start>177</start>
      <end>177</end>
      <status>modified</status>
      <modifiedWord/>
      <trackRevisions>false</trackRevisions>
    </reviewItem>
    <reviewItem>
      <errorID>923042c3-a892-469b-90c3-ae57042e8c1b</errorID>
      <errorWord>我国</errorWord>
      <group>L1_Punc</group>
      <groupName>标点问题</groupName>
      <ability>L2_Punc</ability>
      <abilityName>标点符号检查</abilityName>
      <candidateList>
        <item>，我国</item>
      </candidateList>
      <explain/>
      <paraID>2C81F52A</paraID>
      <start>35</start>
      <end>37</end>
      <status>unmodified</status>
      <modifiedWord/>
      <trackRevisions>false</trackRevisions>
    </reviewItem>
    <reviewItem>
      <errorID>ab7e74ea-8306-43ba-9cd6-664daac066cf</errorID>
      <errorWord>需具备</errorWord>
      <group>L1_Word</group>
      <groupName>字词问题</groupName>
      <ability>L2_Typo</ability>
      <abilityName>字词错误</abilityName>
      <candidateList>
        <item>须具备</item>
      </candidateList>
      <explain/>
      <paraID>2C81F52A</paraID>
      <start>208</start>
      <end>211</end>
      <status>unmodified</status>
      <modifiedWord/>
      <trackRevisions>false</trackRevisions>
    </reviewItem>
    <reviewItem>
      <errorID>5c6125e6-d5b9-471d-a643-bdb73438b9b7</errorID>
      <errorWord>慢病</errorWord>
      <group>L1_Word</group>
      <groupName>字词问题</groupName>
      <ability>L2_Typo</ability>
      <abilityName>字词错误</abilityName>
      <candidateList>
        <item>慢性病</item>
      </candidateList>
      <explain/>
      <paraID>2C81F52A</paraID>
      <start>253</start>
      <end>255</end>
      <status>unmodified</status>
      <modifiedWord/>
      <trackRevisions>false</trackRevisions>
    </reviewItem>
    <reviewItem>
      <errorID>d6f3d169-bb04-4c68-bc78-c19ec66b928a</errorID>
      <errorWord>需具备</errorWord>
      <group>L1_Word</group>
      <groupName>字词问题</groupName>
      <ability>L2_Typo</ability>
      <abilityName>字词错误</abilityName>
      <candidateList>
        <item>须具备</item>
      </candidateList>
      <explain/>
      <paraID>60187455</paraID>
      <start>71</start>
      <end>74</end>
      <status>unmodified</status>
      <modifiedWord/>
      <trackRevisions>false</trackRevisions>
    </reviewItem>
    <reviewItem>
      <errorID>a8fdb010-4641-4e39-8b5d-9a5478781faa</errorID>
      <errorWord>技术研发</errorWord>
      <group>L1_Word</group>
      <groupName>字词问题</groupName>
      <ability>L2_Typo</ability>
      <abilityName>字词错误</abilityName>
      <candidateList>
        <item>技术开发</item>
      </candidateList>
      <explain/>
      <paraID>590743DF</paraID>
      <start>32</start>
      <end>36</end>
      <status>unmodified</status>
      <modifiedWord/>
      <trackRevisions>false</trackRevisions>
    </reviewItem>
    <reviewItem>
      <errorID>7a98b5e7-f207-434d-8c96-339aa95faf80</errorID>
      <errorWord>, </errorWord>
      <group>L1_Punc</group>
      <groupName>标点问题</groupName>
      <ability>L2_Punc</ability>
      <abilityName>标点符号检查</abilityName>
      <candidateList>
        <item>。</item>
      </candidateList>
      <explain/>
      <paraID>6D61111C</paraID>
      <start>30</start>
      <end>32</end>
      <status>unmodified</status>
      <modifiedWord/>
      <trackRevisions>false</trackRevisions>
    </reviewItem>
    <reviewItem>
      <errorID>0c1d66ac-f4f6-483a-a7ae-fecf21ad933c</errorID>
      <errorWord>:</errorWord>
      <group>L1_Format</group>
      <groupName>格式问题</groupName>
      <ability>L2_HalfPunc</ability>
      <abilityName>全半角检查</abilityName>
      <candidateList>
        <item>：</item>
      </candidateList>
      <explain>文本全半角错误。</explain>
      <paraID>6D61111C</paraID>
      <start>90</start>
      <end>91</end>
      <status>modified</status>
      <modifiedWord>：</modifiedWord>
      <trackRevisions>false</trackRevisions>
    </reviewItem>
    <reviewItem>
      <errorID>85ce7ce3-38f2-41d3-8241-e0aaecce0366</errorID>
      <errorWord>，</errorWord>
      <group>L1_Word</group>
      <groupName>字词问题</groupName>
      <ability>L2_Typo</ability>
      <abilityName>字词错误</abilityName>
      <candidateList>
        <item>，对</item>
      </candidateList>
      <explain/>
      <paraID>44E94962</paraID>
      <start>15</start>
      <end>16</end>
      <status>unmodified</status>
      <modifiedWord/>
      <trackRevisions>false</trackRevisions>
    </reviewItem>
    <reviewItem>
      <errorID>9f1e4b87-71e4-4463-932d-64a50ab3ff40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4FF62163</paraID>
      <start>43</start>
      <end>44</end>
      <status>unmodified</status>
      <modifiedWord/>
      <trackRevisions>false</trackRevisions>
    </reviewItem>
    <reviewItem>
      <errorID>44f9cad8-bf5e-4580-838e-adc6538ffb5a</errorID>
      <errorWord>;</errorWord>
      <group>L1_Format</group>
      <groupName>格式问题</groupName>
      <ability>L2_HalfPunc</ability>
      <abilityName>全半角检查</abilityName>
      <candidateList>
        <item>；</item>
      </candidateList>
      <explain>文本全半角错误。</explain>
      <paraID>4FF62163</paraID>
      <start>57</start>
      <end>58</end>
      <status>modified</status>
      <modifiedWord>；</modifiedWord>
      <trackRevisions>false</trackRevisions>
    </reviewItem>
    <reviewItem>
      <errorID>21956203-4c35-4e91-8990-42e8d310d27b</errorID>
      <errorWord>;</errorWord>
      <group>L1_Punc</group>
      <groupName>标点问题</groupName>
      <ability>L2_Punc</ability>
      <abilityName>标点符号检查</abilityName>
      <candidateList>
        <item>；</item>
      </candidateList>
      <explain/>
      <paraID>4FF62163</paraID>
      <start>108</start>
      <end>109</end>
      <status>modified</status>
      <modifiedWord>；</modifiedWord>
      <trackRevisions>false</trackRevisions>
    </reviewItem>
    <reviewItem>
      <errorID>1902716e-eafc-4b7c-a9a8-a781938a23dc</errorID>
      <errorWord>及</errorWord>
      <group>L1_Word</group>
      <groupName>字词问题</groupName>
      <ability>L2_Typo</ability>
      <abilityName>字词错误</abilityName>
      <candidateList>
        <item>并</item>
      </candidateList>
      <explain/>
      <paraID>4FF62163</paraID>
      <start>132</start>
      <end>133</end>
      <status>unmodified</status>
      <modifiedWord/>
      <trackRevisions>false</trackRevisions>
    </reviewItem>
    <reviewItem>
      <errorID>427ffe9e-9a1a-4816-9af5-d3e17e2aadeb</errorID>
      <errorWord>程</errorWord>
      <group>L1_Word</group>
      <groupName>字词问题</groupName>
      <ability>L2_Typo</ability>
      <abilityName>字词错误</abilityName>
      <candidateList>
        <item>程中</item>
      </candidateList>
      <explain/>
      <paraID>4FF62163</paraID>
      <start>141</start>
      <end>142</end>
      <status>unmodified</status>
      <modifiedWord/>
      <trackRevisions>false</trackRevisions>
    </reviewItem>
    <reviewItem>
      <errorID>bd26e6d2-d374-4c6e-a485-5d6b537806e2</errorID>
      <errorWord>:</errorWord>
      <group>L1_Format</group>
      <groupName>格式问题</groupName>
      <ability>L2_HalfPunc</ability>
      <abilityName>全半角检查</abilityName>
      <candidateList>
        <item>：</item>
      </candidateList>
      <explain>文本全半角错误。</explain>
      <paraID>28A36946</paraID>
      <start>5</start>
      <end>6</end>
      <status>modified</status>
      <modifiedWord>：</modifiedWord>
      <trackRevisions>false</trackRevisions>
    </reviewItem>
    <reviewItem>
      <errorID>29316505-ce15-4691-a82f-f01766a3e66e</errorID>
      <errorWord>;</errorWord>
      <group>L1_Punc</group>
      <groupName>标点问题</groupName>
      <ability>L2_Punc</ability>
      <abilityName>标点符号检查</abilityName>
      <candidateList>
        <item>；</item>
      </candidateList>
      <explain/>
      <paraID>28A36946</paraID>
      <start>23</start>
      <end>24</end>
      <status>modified</status>
      <modifiedWord>；</modifiedWord>
      <trackRevisions>false</trackRevisions>
    </reviewItem>
    <reviewItem>
      <errorID>e6c874c8-7a79-4c85-9c35-894b91cb57ae</errorID>
      <errorWord>“</errorWord>
      <group>L1_Punc</group>
      <groupName>标点问题</groupName>
      <ability>L2_Punc</ability>
      <abilityName>标点符号检查</abilityName>
      <candidateList>
        <item> “</item>
      </candidateList>
      <explain/>
      <paraID>4D680291</paraID>
      <start>2</start>
      <end>3</end>
      <status>unmodified</status>
      <modifiedWord/>
      <trackRevisions>false</trackRevisions>
    </reviewItem>
    <reviewItem>
      <errorID>de1497ab-fe1f-438e-a919-b3d4637012eb</errorID>
      <errorWord>一等奖</errorWord>
      <group>L1_Word</group>
      <groupName>字词问题</groupName>
      <ability>L2_Typo</ability>
      <abilityName>字词错误</abilityName>
      <candidateList>
        <item> 一等奖</item>
      </candidateList>
      <explain/>
      <paraID>71C20257</paraID>
      <start>2</start>
      <end>5</end>
      <status>unmodified</status>
      <modifiedWord/>
      <trackRevisions>false</trackRevisions>
    </reviewItem>
    <reviewItem>
      <errorID>07abdf8f-639f-4b87-aa4c-9ab9db564b87</errorID>
      <errorWord>万</errorWord>
      <group>L1_Word</group>
      <groupName>字词问题</groupName>
      <ability>L2_Typo</ability>
      <abilityName>字词错误</abilityName>
      <candidateList>
        <item>万元</item>
      </candidateList>
      <explain/>
      <paraID>63B85343</paraID>
      <start>23</start>
      <end>24</end>
      <status>unmodified</status>
      <modifiedWord/>
      <trackRevisions>false</trackRevisions>
    </reviewItem>
    <reviewItem>
      <errorID>a36be45a-426f-4ef7-96d5-517a85316052</errorID>
      <errorWord>针对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60502674</paraID>
      <start>79</start>
      <end>81</end>
      <status>unmodified</status>
      <modifiedWord/>
      <trackRevisions>false</trackRevisions>
    </reviewItem>
    <reviewItem>
      <errorID>7582da5a-eb5a-457d-9688-8834a02daf93</errorID>
      <errorWord>的</errorWord>
      <group>L1_Word</group>
      <groupName>字词问题</groupName>
      <ability>L2_Typo</ability>
      <abilityName>字词错误</abilityName>
      <candidateList>
        <item>地</item>
      </candidateList>
      <explain/>
      <paraID>2E1C978A</paraID>
      <start>43</start>
      <end>44</end>
      <status>unmodified</status>
      <modifiedWord/>
      <trackRevisions>false</trackRevisions>
    </reviewItem>
    <reviewItem>
      <errorID>25853e89-ecfb-427b-a88c-a70a93394ade</errorID>
      <errorWord>解及</errorWord>
      <group>L1_Word</group>
      <groupName>字词问题</groupName>
      <ability>L2_Typo</ability>
      <abilityName>字词错误</abilityName>
      <candidateList>
        <item>解答并</item>
      </candidateList>
      <explain/>
      <paraID>2E1C978A</paraID>
      <start>72</start>
      <end>74</end>
      <status>unmodified</status>
      <modifiedWord/>
      <trackRevisions>false</trackRevisions>
    </reviewItem>
    <reviewItem>
      <errorID>7749cff9-a46a-482b-85fa-e64318eb9173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1845FD2F</paraID>
      <start>0</start>
      <end>2</end>
      <status>modified</status>
      <modifiedWord>1.</modifiedWord>
      <trackRevisions>false</trackRevisions>
    </reviewItem>
    <reviewItem>
      <errorID>4be5d2d7-79fb-415a-a329-81f62e2f0593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60E0FBF1</paraID>
      <start>0</start>
      <end>2</end>
      <status>modified</status>
      <modifiedWord>2.</modifiedWord>
      <trackRevisions>false</trackRevisions>
    </reviewItem>
    <reviewItem>
      <errorID>de7e6b56-b536-4254-9864-b4bbd5501688</errorID>
      <errorWord>亟需</errorWord>
      <group>L1_Word</group>
      <groupName>字词问题</groupName>
      <ability>L2_Typo</ability>
      <abilityName>字词错误</abilityName>
      <candidateList>
        <item>亟须</item>
      </candidateList>
      <explain/>
      <paraID>69BAE697</paraID>
      <start>217</start>
      <end>219</end>
      <status>unmodified</status>
      <modifiedWord/>
      <trackRevisions>false</trackRevisions>
    </reviewItem>
    <reviewItem>
      <errorID>539c6279-8d81-43f3-854b-46e2f6dfd158</errorID>
      <errorWord>(</errorWord>
      <group>L1_Format</group>
      <groupName>格式问题</groupName>
      <ability>L2_HalfPunc</ability>
      <abilityName>全半角检查</abilityName>
      <candidateList>
        <item>（</item>
      </candidateList>
      <explain>文本全半角错误。</explain>
      <paraID>170F99A7</paraID>
      <start>13</start>
      <end>14</end>
      <status>modified</status>
      <modifiedWord>（</modifiedWord>
      <trackRevisions>false</trackRevisions>
    </reviewItem>
    <reviewItem>
      <errorID>8b33523d-1a69-434d-803e-3739cd822af0</errorID>
      <errorWord>)</errorWord>
      <group>L1_Format</group>
      <groupName>格式问题</groupName>
      <ability>L2_HalfPunc</ability>
      <abilityName>全半角检查</abilityName>
      <candidateList>
        <item>）</item>
      </candidateList>
      <explain>文本全半角错误。</explain>
      <paraID>170F99A7</paraID>
      <start>23</start>
      <end>24</end>
      <status>modified</status>
      <modifiedWord>）</modifiedWord>
      <trackRevisions>false</trackRevisions>
    </reviewItem>
    <reviewItem>
      <errorID>63d1590a-528a-48fb-b4f9-9a35fe0efc93</errorID>
      <errorWord>器</errorWord>
      <group>L1_Word</group>
      <groupName>字词问题</groupName>
      <ability>L2_Typo</ability>
      <abilityName>字词错误</abilityName>
      <candidateList>
        <item>器人</item>
      </candidateList>
      <explain/>
      <paraID>16B38075</paraID>
      <start>23</start>
      <end>24</end>
      <status>unmodified</status>
      <modifiedWord/>
      <trackRevisions>false</trackRevisions>
    </reviewItem>
    <reviewItem>
      <errorID>b7b1b6d8-bdce-4982-abba-3b09bf3a887b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1C37A69C</paraID>
      <start>0</start>
      <end>2</end>
      <status>modified</status>
      <modifiedWord>1.</modifiedWord>
      <trackRevisions>false</trackRevisions>
    </reviewItem>
    <reviewItem>
      <errorID>f7a0f07d-8179-42f8-af41-0da8725e1ee6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2AD5A404</paraID>
      <start>0</start>
      <end>2</end>
      <status>modified</status>
      <modifiedWord>2.</modifiedWord>
      <trackRevisions>false</trackRevisions>
    </reviewItem>
    <reviewItem>
      <errorID>0c9b67b2-528e-435c-8f5d-2b6ec9df4649</errorID>
      <errorWord>(</errorWord>
      <group>L1_Format</group>
      <groupName>格式问题</groupName>
      <ability>L2_HalfPunc</ability>
      <abilityName>全半角检查</abilityName>
      <candidateList>
        <item>（</item>
      </candidateList>
      <explain>文本全半角错误。</explain>
      <paraID>2AD5A404</paraID>
      <start>14</start>
      <end>15</end>
      <status>modified</status>
      <modifiedWord>（</modifiedWord>
      <trackRevisions>false</trackRevisions>
    </reviewItem>
    <reviewItem>
      <errorID>61ee6fa3-c458-4e80-a8f6-655aa06d25e0</errorID>
      <errorWord>),</errorWord>
      <group>L1_Format</group>
      <groupName>格式问题</groupName>
      <ability>L2_HalfPunc</ability>
      <abilityName>全半角检查</abilityName>
      <candidateList>
        <item>），</item>
      </candidateList>
      <explain>文本全半角错误。</explain>
      <paraID>2AD5A404</paraID>
      <start>26</start>
      <end>28</end>
      <status>modified</status>
      <modifiedWord>），</modifiedWord>
      <trackRevisions>false</trackRevisions>
    </reviewItem>
    <reviewItem>
      <errorID>40eaec05-d69d-4b83-bd9c-6c7161180f72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4A901D27</paraID>
      <start>0</start>
      <end>2</end>
      <status>modified</status>
      <modifiedWord>3.</modifiedWord>
      <trackRevisions>false</trackRevisions>
    </reviewItem>
    <reviewItem>
      <errorID>4d6000c2-b0f0-4d4e-a0bc-44707b4246c3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56EB15BE</paraID>
      <start>0</start>
      <end>2</end>
      <status>modified</status>
      <modifiedWord>1.</modifiedWord>
      <trackRevisions>false</trackRevisions>
    </reviewItem>
    <reviewItem>
      <errorID>26a91ca5-d740-4da4-b15e-cd2f877ff06c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77A75549</paraID>
      <start>0</start>
      <end>2</end>
      <status>modified</status>
      <modifiedWord>2.</modifiedWord>
      <trackRevisions>false</trackRevisions>
    </reviewItem>
    <reviewItem>
      <errorID>5ee1c496-6403-40c5-8184-698442133375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34B283A1</paraID>
      <start>0</start>
      <end>2</end>
      <status>modified</status>
      <modifiedWord>3.</modifiedWord>
      <trackRevisions>false</trackRevisions>
    </reviewItem>
    <reviewItem>
      <errorID>7b36b435-c2b7-4470-95ce-f09182a7f054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4FD6916E</paraID>
      <start>0</start>
      <end>2</end>
      <status>modified</status>
      <modifiedWord>1.</modifiedWord>
      <trackRevisions>false</trackRevisions>
    </reviewItem>
    <reviewItem>
      <errorID>c32a218d-eb56-4723-89f5-cc5066ff3357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5FBEE644</paraID>
      <start>0</start>
      <end>2</end>
      <status>modified</status>
      <modifiedWord>2.</modifiedWord>
      <trackRevisions>false</trackRevisions>
    </reviewItem>
    <reviewItem>
      <errorID>8780fe57-8967-4b82-b7db-4b3dd9c9aff4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5945644</paraID>
      <start>0</start>
      <end>2</end>
      <status>modified</status>
      <modifiedWord>3.</modifiedWord>
      <trackRevisions>false</trackRevisions>
    </reviewItem>
    <reviewItem>
      <errorID>9b6b13bc-19ea-4481-b6f9-d44ea93dce27</errorID>
      <errorWord>晰</errorWord>
      <group>L1_Word</group>
      <groupName>字词问题</groupName>
      <ability>L2_Typo</ability>
      <abilityName>字词错误</abilityName>
      <candidateList>
        <item>晰地</item>
      </candidateList>
      <explain/>
      <paraID>747F00F9</paraID>
      <start>30</start>
      <end>31</end>
      <status>unmodified</status>
      <modifiedWord/>
      <trackRevisions>false</trackRevisions>
    </reviewItem>
    <reviewItem>
      <errorID>531913f6-0342-4983-a739-dd434ba96bd8</errorID>
      <errorWord>晰</errorWord>
      <group>L1_Word</group>
      <groupName>字词问题</groupName>
      <ability>L2_Typo</ability>
      <abilityName>字词错误</abilityName>
      <candidateList>
        <item>晰地</item>
      </candidateList>
      <explain/>
      <paraID>74FF3453</paraID>
      <start>2</start>
      <end>3</end>
      <status>unmodified</status>
      <modifiedWord/>
      <trackRevisions>false</trackRevisions>
    </reviewItem>
    <reviewItem>
      <errorID>f9f305a8-5e09-4776-9a87-b4bcf3ef4ff5</errorID>
      <errorWord>必须</errorWord>
      <group>L1_Word</group>
      <groupName>字词问题</groupName>
      <ability>L2_Typo</ability>
      <abilityName>字词错误</abilityName>
      <candidateList>
        <item>必需</item>
      </candidateList>
      <explain>〈动〉一定要有；不可少：日用～品｜煤铁等是发展工业所～的原料。</explain>
      <paraID>1E8480EC</paraID>
      <start>44</start>
      <end>46</end>
      <status>unmodified</status>
      <modifiedWord/>
      <trackRevisions>false</trackRevisions>
    </reviewItem>
    <reviewItem>
      <errorID>fd2693d8-c4aa-45f7-a76e-9e1e1bad196b</errorID>
      <errorWord>程</errorWord>
      <group>L1_Word</group>
      <groupName>字词问题</groupName>
      <ability>L2_Typo</ability>
      <abilityName>字词错误</abilityName>
      <candidateList>
        <item>程中</item>
      </candidateList>
      <explain/>
      <paraID>4EE0947E</paraID>
      <start>69</start>
      <end>70</end>
      <status>unmodified</status>
      <modifiedWord/>
      <trackRevisions>false</trackRevisions>
    </reviewItem>
    <reviewItem>
      <errorID>bc23ae24-cf3f-4182-9161-5c4a3c2374cf</errorID>
      <errorWord>流</errorWord>
      <group>L1_Word</group>
      <groupName>字词问题</groupName>
      <ability>L2_Typo</ability>
      <abilityName>字词错误</abilityName>
      <candidateList>
        <item>流程</item>
      </candidateList>
      <explain/>
      <paraID>2F31B186</paraID>
      <start>35</start>
      <end>36</end>
      <status>unmodified</status>
      <modifiedWord/>
      <trackRevisions>false</trackRevisions>
    </reviewItem>
    <reviewItem>
      <errorID>c74511c2-81d8-4919-bd3d-440c4454e7fb</errorID>
      <errorWord>个人信息保护法</errorWord>
      <group>L1_Knowledge</group>
      <groupName>知识性问题</groupName>
      <ability>L2_Knowledge</ability>
      <abilityName>其他知识</abilityName>
      <candidateList>
        <item>中华人民共和国个人信息保护法</item>
      </candidateList>
      <explain>当前法律法规名称使用简称，请注意是否应当使用全称。</explain>
      <paraID>15340EBB</paraID>
      <start>50</start>
      <end>57</end>
      <status>unmodified</status>
      <modifiedWord/>
      <trackRevisions>false</trackRevisions>
    </reviewItem>
    <reviewItem>
      <errorID>fbac798d-cde7-4d32-ae0d-07397e52f1da</errorID>
      <errorWord>“双碳”战略</errorWord>
      <group>L1_Word</group>
      <groupName>字词问题</groupName>
      <ability>L2_Typo</ability>
      <abilityName>字词错误</abilityName>
      <candidateList>
        <item>“双碳”目标</item>
      </candidateList>
      <explain/>
      <paraID>65BA5926</paraID>
      <start>2</start>
      <end>8</end>
      <status>unmodified</status>
      <modifiedWord/>
      <trackRevisions>false</trackRevisions>
    </reviewItem>
    <reviewItem>
      <errorID>690bf045-9424-4385-b280-37852f07f4ed</errorID>
      <errorWord>新一轮科技革命与产业变革</errorWord>
      <group>L1_Political</group>
      <groupName>政治性问题</groupName>
      <ability>L2_Keyword</ability>
      <abilityName>固定表述</abilityName>
      <candidateList>
        <item>新一轮科技革命和产业变革</item>
      </candidateList>
      <explain>词汇“新一轮科技革命和产业变革”在特定场景下为固定表述形式，请确认此处的“新一轮科技革命与产业变革”是否存在不当。</explain>
      <paraID>25CC7FCC</paraID>
      <start>3</start>
      <end>15</end>
      <status>unmodified</status>
      <modifiedWord/>
      <trackRevisions>false</trackRevisions>
    </reviewItem>
    <reviewItem>
      <errorID>c71f29ad-0c93-4014-ac57-1bc3ac3b4698</errorID>
      <errorWord>亟需</errorWord>
      <group>L1_Word</group>
      <groupName>字词问题</groupName>
      <ability>L2_Typo</ability>
      <abilityName>字词错误</abilityName>
      <candidateList>
        <item>亟须</item>
      </candidateList>
      <explain/>
      <paraID>25CC7FCC</paraID>
      <start>198</start>
      <end>200</end>
      <status>unmodified</status>
      <modifiedWord/>
      <trackRevisions>false</trackRevisions>
    </reviewItem>
    <reviewItem>
      <errorID>f48b8377-cadb-488d-8d5f-7ce09ae6557d</errorID>
      <errorWord>，</errorWord>
      <group>L1_Word</group>
      <groupName>字词问题</groupName>
      <ability>L2_Typo</ability>
      <abilityName>字词错误</abilityName>
      <candidateList>
        <item>，以</item>
      </candidateList>
      <explain/>
      <paraID>2A98ED61</paraID>
      <start>42</start>
      <end>43</end>
      <status>unmodified</status>
      <modifiedWord/>
      <trackRevisions>false</trackRevisions>
    </reviewItem>
    <reviewItem>
      <errorID>9943cbeb-79e3-43b2-ab1c-93dc258c20b9</errorID>
      <errorWord>双碳</errorWord>
      <group>L1_Political</group>
      <groupName>政治性问题</groupName>
      <ability>L2_Keyword</ability>
      <abilityName>固定表述</abilityName>
      <candidateList>
        <item>“双碳”</item>
      </candidateList>
      <explain>注意检查当前固定表述标点是否使用规范。</explain>
      <paraID>397941DF</paraID>
      <start>5</start>
      <end>7</end>
      <status>unmodified</status>
      <modifiedWord/>
      <trackRevisions>false</trackRevisions>
    </reviewItem>
    <reviewItem>
      <errorID>312a15f3-0915-4af4-9e29-79a3662dc17d</errorID>
      <errorWord>(</errorWord>
      <group>L1_Format</group>
      <groupName>格式问题</groupName>
      <ability>L2_HalfPunc</ability>
      <abilityName>全半角检查</abilityName>
      <candidateList>
        <item>（</item>
      </candidateList>
      <explain>文本全半角错误。</explain>
      <paraID>7F2B5925</paraID>
      <start>11</start>
      <end>12</end>
      <status>modified</status>
      <modifiedWord>（</modifiedWord>
      <trackRevisions>false</trackRevisions>
    </reviewItem>
    <reviewItem>
      <errorID>52ce8675-59cb-4fec-b2e0-419797c832d6</errorID>
      <errorWord>)</errorWord>
      <group>L1_Format</group>
      <groupName>格式问题</groupName>
      <ability>L2_HalfPunc</ability>
      <abilityName>全半角检查</abilityName>
      <candidateList>
        <item>）</item>
      </candidateList>
      <explain>文本全半角错误。</explain>
      <paraID>7F2B5925</paraID>
      <start>18</start>
      <end>19</end>
      <status>modified</status>
      <modifiedWord>）</modifiedWord>
      <trackRevisions>false</trackRevisions>
    </reviewItem>
    <reviewItem>
      <errorID>ffc36f3c-0a8b-478a-a007-de13b9c06250</errorID>
      <errorWord>万人民币</errorWord>
      <group>L1_Word</group>
      <groupName>字词问题</groupName>
      <ability>L2_Typo</ability>
      <abilityName>字词错误</abilityName>
      <candidateList>
        <item>万元人民币</item>
      </candidateList>
      <explain/>
      <paraID>63A5E993</paraID>
      <start>74</start>
      <end>78</end>
      <status>unmodified</status>
      <modifiedWord/>
      <trackRevisions>false</trackRevisions>
    </reviewItem>
    <reviewItem>
      <errorID>982877da-cd35-46d4-bc14-e8c61df7e04e</errorID>
      <errorWord>万人民币</errorWord>
      <group>L1_Word</group>
      <groupName>字词问题</groupName>
      <ability>L2_Typo</ability>
      <abilityName>字词错误</abilityName>
      <candidateList>
        <item>万元人民币</item>
      </candidateList>
      <explain/>
      <paraID>63A5E993</paraID>
      <start>93</start>
      <end>97</end>
      <status>unmodified</status>
      <modifiedWord/>
      <trackRevisions>false</trackRevisions>
    </reviewItem>
    <reviewItem>
      <errorID>f64d8ef0-a017-435b-9bfc-7bd7d2abd405</errorID>
      <errorWord>制</errorWord>
      <group>L1_Word</group>
      <groupName>字词问题</groupName>
      <ability>L2_Typo</ability>
      <abilityName>字词错误</abilityName>
      <candidateList>
        <item>制等</item>
      </candidateList>
      <explain/>
      <paraID>5CBE0AAC</paraID>
      <start>84</start>
      <end>85</end>
      <status>unmodified</status>
      <modifiedWord/>
      <trackRevisions>false</trackRevisions>
    </reviewItem>
    <reviewItem>
      <errorID>eee4fdc3-3d94-47cd-9f0e-24d29db58a75</errorID>
      <errorWord>好</errorWord>
      <group>L1_Word</group>
      <groupName>字词问题</groupName>
      <ability>L2_Typo</ability>
      <abilityName>字词错误</abilityName>
      <candidateList>
        <item>好地</item>
      </candidateList>
      <explain/>
      <paraID>5DD85871</paraID>
      <start>37</start>
      <end>38</end>
      <status>unmodified</status>
      <modifiedWord/>
      <trackRevisions>false</trackRevisions>
    </reviewItem>
    <reviewItem>
      <errorID>15606643-58cb-4e22-886d-61178dcb1644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71DBCD1C</paraID>
      <start>84</start>
      <end>87</end>
      <status>unmodified</status>
      <modifiedWord/>
      <trackRevisions>false</trackRevisions>
    </reviewItem>
    <reviewItem>
      <errorID>6dcc9da0-7430-448e-bef3-bd26095e58b6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71DBCD1C</paraID>
      <start>89</start>
      <end>92</end>
      <status>unmodified</status>
      <modifiedWord/>
      <trackRevisions>false</trackRevisions>
    </reviewItem>
    <reviewItem>
      <errorID>d2175201-ba3b-4628-aae9-623feca98bdf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2150F949</paraID>
      <start>0</start>
      <end>2</end>
      <status>modified</status>
      <modifiedWord>1.</modifiedWord>
      <trackRevisions>false</trackRevisions>
    </reviewItem>
    <reviewItem>
      <errorID>7761724d-070e-4f08-885a-b1a1b825e2a5</errorID>
      <errorWord>、以及</errorWord>
      <group>L1_Punc</group>
      <groupName>标点问题</groupName>
      <ability>L2_Punc</ability>
      <abilityName>标点符号检查</abilityName>
      <candidateList>
        <item>，以及</item>
      </candidateList>
      <explain>连接词前后不宜使用顿号，建议使用逗号。</explain>
      <paraID>3A783C70</paraID>
      <start>41</start>
      <end>44</end>
      <status>unmodified</status>
      <modifiedWord/>
      <trackRevisions>false</trackRevisions>
    </reviewItem>
    <reviewItem>
      <errorID>1e51f3e0-2b9b-4012-a8a0-793b792e6d56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3229FBD4</paraID>
      <start>0</start>
      <end>2</end>
      <status>modified</status>
      <modifiedWord>2.</modifiedWord>
      <trackRevisions>false</trackRevisions>
    </reviewItem>
    <reviewItem>
      <errorID>ce328470-fdfe-4824-b91f-78cc16089133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160</start>
      <end>163</end>
      <status>unmodified</status>
      <modifiedWord/>
      <trackRevisions>false</trackRevisions>
    </reviewItem>
    <reviewItem>
      <errorID>472dab61-cd01-4001-bd79-15ded1ead983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173</start>
      <end>176</end>
      <status>unmodified</status>
      <modifiedWord/>
      <trackRevisions>false</trackRevisions>
    </reviewItem>
    <reviewItem>
      <errorID>23527a8e-1aae-4712-89c3-5fdd4df2d632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191</start>
      <end>194</end>
      <status>unmodified</status>
      <modifiedWord/>
      <trackRevisions>false</trackRevisions>
    </reviewItem>
    <reviewItem>
      <errorID>09394eb7-4c2a-41f2-817d-6fe8e358e96d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60C6F491</paraID>
      <start>207</start>
      <end>210</end>
      <status>unmodified</status>
      <modifiedWord/>
      <trackRevisions>false</trackRevisions>
    </reviewItem>
    <reviewItem>
      <errorID>43961b07-ea42-4a7e-abe8-03bb1fcfa062</errorID>
      <errorWord>至</errorWord>
      <group>L1_Word</group>
      <groupName>字词问题</groupName>
      <ability>L2_Typo</ability>
      <abilityName>字词错误</abilityName>
      <candidateList>
        <item>到</item>
      </candidateList>
      <explain>存在字形相近字词的误用。</explain>
      <paraID>77299EE8</paraID>
      <start>81</start>
      <end>82</end>
      <status>unmodified</status>
      <modifiedWord/>
      <trackRevisions>false</trackRevisions>
    </reviewItem>
    <reviewItem>
      <errorID>e49cad64-7612-4f03-b976-d0c086d45314</errorID>
      <errorWord>详实</errorWord>
      <group>L1_Word</group>
      <groupName>字词问题</groupName>
      <ability>L2_Typo</ability>
      <abilityName>字词错误</abilityName>
      <candidateList>
        <item>翔实</item>
      </candidateList>
      <explain>存在发音相同字词的误用。</explain>
      <paraID>6ECECEF5</paraID>
      <start>39</start>
      <end>41</end>
      <status>unmodified</status>
      <modifiedWord/>
      <trackRevisions>false</trackRevisions>
    </reviewItem>
    <reviewItem>
      <errorID>367c778b-209e-4761-a691-2502dcb05f7f</errorID>
      <errorWord>、以及</errorWord>
      <group>L1_Punc</group>
      <groupName>标点问题</groupName>
      <ability>L2_Punc</ability>
      <abilityName>标点符号检查</abilityName>
      <candidateList>
        <item>，以及</item>
      </candidateList>
      <explain>连接词前后不宜使用顿号，建议使用逗号。</explain>
      <paraID> 51DE0BD</paraID>
      <start>28</start>
      <end>31</end>
      <status>unmodified</status>
      <modifiedWord/>
      <trackRevisions>false</trackRevisions>
    </reviewItem>
    <reviewItem>
      <errorID>d7d94503-50af-42ef-a1ab-cefb7a34935c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30C78EEE</paraID>
      <start>0</start>
      <end>2</end>
      <status>modified</status>
      <modifiedWord>1.</modifiedWord>
      <trackRevisions>false</trackRevisions>
    </reviewItem>
    <reviewItem>
      <errorID>1cfa7fac-07f9-46df-a991-6429926e1a3d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C539EA7</paraID>
      <start>0</start>
      <end>2</end>
      <status>modified</status>
      <modifiedWord>2.</modifiedWord>
      <trackRevisions>false</trackRevisions>
    </reviewItem>
    <reviewItem>
      <errorID>649e24b2-dabb-45b3-a4f4-1e288ff8ef10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68D1EE43</paraID>
      <start>0</start>
      <end>2</end>
      <status>modified</status>
      <modifiedWord>3.</modifiedWord>
      <trackRevisions>false</trackRevisions>
    </reviewItem>
    <reviewItem>
      <errorID>8fb35e82-9924-4f93-a5c4-30bb65b4f9fc</errorID>
      <errorWord>;</errorWord>
      <group>L1_Format</group>
      <groupName>格式问题</groupName>
      <ability>L2_HalfPunc</ability>
      <abilityName>全半角检查</abilityName>
      <candidateList>
        <item>；</item>
      </candidateList>
      <explain>文本全半角错误。</explain>
      <paraID>61ED4C57</paraID>
      <start>155</start>
      <end>156</end>
      <status>modified</status>
      <modifiedWord>；</modifiedWord>
      <trackRevisions>false</trackRevisions>
    </reviewItem>
    <reviewItem>
      <errorID>9ff85bfb-6463-4f62-83ee-27bda5e5ddcc</errorID>
      <errorWord>需具备</errorWord>
      <group>L1_Word</group>
      <groupName>字词问题</groupName>
      <ability>L2_Typo</ability>
      <abilityName>字词错误</abilityName>
      <candidateList>
        <item>须具备</item>
      </candidateList>
      <explain/>
      <paraID>2B41FC40</paraID>
      <start>2</start>
      <end>5</end>
      <status>unmodified</status>
      <modifiedWord/>
      <trackRevisions>false</trackRevisions>
    </reviewItem>
    <reviewItem>
      <errorID>f18fae8f-4eae-40c8-80fd-a35e844bbd50</errorID>
      <errorWord>成为了一个</errorWord>
      <group>L1_Word</group>
      <groupName>字词问题</groupName>
      <ability>L2_Typo</ability>
      <abilityName>字词错误</abilityName>
      <candidateList>
        <item>成了一个</item>
      </candidateList>
      <explain/>
      <paraID>12D53634</paraID>
      <start>25</start>
      <end>30</end>
      <status>unmodified</status>
      <modifiedWord/>
      <trackRevisions>false</trackRevisions>
    </reviewItem>
    <reviewItem>
      <errorID>5fadbb52-a5c0-450a-8e71-0adf0d2ca182</errorID>
      <errorWord>平米</errorWord>
      <group>L1_Word</group>
      <groupName>字词问题</groupName>
      <ability>L2_Typo</ability>
      <abilityName>字词错误</abilityName>
      <candidateList>
        <item>平方米</item>
      </candidateList>
      <explain>〈量〉面积单位，边长1米的正方形的面积是1平方米，符号为m²。</explain>
      <paraID>12D53634</paraID>
      <start>53</start>
      <end>55</end>
      <status>unmodified</status>
      <modifiedWord/>
      <trackRevisions>false</trackRevisions>
    </reviewItem>
    <reviewItem>
      <errorID>d0e1dcb8-013d-4cd0-9d78-6743748426e4</errorID>
      <errorWord>三农</errorWord>
      <group>L1_Political</group>
      <groupName>政治性问题</groupName>
      <ability>L2_Keyword</ability>
      <abilityName>固定表述</abilityName>
      <candidateList>
        <item>“三农”</item>
      </candidateList>
      <explain>注意检查当前固定表述标点是否使用规范。</explain>
      <paraID>12D53634</paraID>
      <start>87</start>
      <end>89</end>
      <status>unmodified</status>
      <modifiedWord/>
      <trackRevisions>false</trackRevisions>
    </reviewItem>
    <reviewItem>
      <errorID>dc2ba88f-de90-4827-a954-acb4ca99ac4f</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47AC2FAB</paraID>
      <start>51</start>
      <end>53</end>
      <status>unmodified</status>
      <modifiedWord/>
      <trackRevisions>false</trackRevisions>
    </reviewItem>
    <reviewItem>
      <errorID>6133d368-e3ba-4cd9-aa30-71bbaefde83d</errorID>
      <errorWord>扩展</errorWord>
      <group>L1_Grammar</group>
      <groupName>语法问题</groupName>
      <ability>L2_Grammar</ability>
      <abilityName>语法错误</abilityName>
      <candidateList>
        <item>拓展</item>
      </candidateList>
      <explain>“扩展～路径”搭配不当，建议修改为“拓展～路径”。</explain>
      <paraID>6DA3B553</paraID>
      <start>20</start>
      <end>22</end>
      <status>unmodified</status>
      <modifiedWord/>
      <trackRevisions>false</trackRevisions>
    </reviewItem>
    <reviewItem>
      <errorID>b2fe6462-386c-444f-a46f-25caee6acfd8</errorID>
      <errorWord>覆盖了</errorWord>
      <group>L1_Word</group>
      <groupName>字词问题</groupName>
      <ability>L2_Typo</ability>
      <abilityName>字词错误</abilityName>
      <candidateList>
        <item>覆盖</item>
      </candidateList>
      <explain>❶〈动〉遮盖：积雪～着地面。❷〈名〉指地面上的植物，对于土壤有保护作用：没有～，水土容易流失。</explain>
      <paraID>41AD3D97</paraID>
      <start>22</start>
      <end>25</end>
      <status>unmodified</status>
      <modifiedWord/>
      <trackRevisions>false</trackRevisions>
    </reviewItem>
    <reviewItem>
      <errorID>4658c132-5f7f-4316-9f5a-f08107c02378</errorID>
      <errorWord>考察</errorWord>
      <group>L1_Word</group>
      <groupName>字词问题</groupName>
      <ability>L2_Typo</ability>
      <abilityName>字词错误</abilityName>
      <candidateList>
        <item>考查</item>
      </candidateList>
      <explain>〈动〉用一定的标准来检查衡量（行为、活动）：～学生的学业成绩。</explain>
      <paraID>3F017F37</paraID>
      <start>5</start>
      <end>7</end>
      <status>unmodified</status>
      <modifiedWord/>
      <trackRevisions>false</trackRevisions>
    </reviewItem>
    <reviewItem>
      <errorID>00cb09a9-b95b-4a80-9c3a-53ad55345629</errorID>
      <errorWord>考察</errorWord>
      <group>L1_Word</group>
      <groupName>字词问题</groupName>
      <ability>L2_Typo</ability>
      <abilityName>字词错误</abilityName>
      <candidateList>
        <item>考查</item>
      </candidateList>
      <explain>〈动〉用一定的标准来检查衡量（行为、活动）：～学生的学业成绩。</explain>
      <paraID>70F0E86C</paraID>
      <start>5</start>
      <end>7</end>
      <status>unmodified</status>
      <modifiedWord/>
      <trackRevisions>false</trackRevisions>
    </reviewItem>
    <reviewItem>
      <errorID>b7a07e5a-d6a2-4972-8409-91108011c8bf</errorID>
      <errorWord>考察</errorWord>
      <group>L1_Word</group>
      <groupName>字词问题</groupName>
      <ability>L2_Typo</ability>
      <abilityName>字词错误</abilityName>
      <candidateList>
        <item>考查</item>
      </candidateList>
      <explain>〈动〉用一定的标准来检查衡量（行为、活动）：～学生的学业成绩。</explain>
      <paraID>7BC9CCAD</paraID>
      <start>5</start>
      <end>7</end>
      <status>unmodified</status>
      <modifiedWord/>
      <trackRevisions>false</trackRevisions>
    </reviewItem>
    <reviewItem>
      <errorID>df23c662-40b3-4f24-aef0-c46fb5084f26</errorID>
      <errorWord>考察</errorWord>
      <group>L1_Word</group>
      <groupName>字词问题</groupName>
      <ability>L2_Typo</ability>
      <abilityName>字词错误</abilityName>
      <candidateList>
        <item>考查</item>
      </candidateList>
      <explain>〈动〉用一定的标准来检查衡量（行为、活动）：～学生的学业成绩。</explain>
      <paraID>6F834A27</paraID>
      <start>5</start>
      <end>7</end>
      <status>unmodified</status>
      <modifiedWord/>
      <trackRevisions>false</trackRevisions>
    </reviewItem>
  </reviewItems>
  <config/>
</contractReview>
</file>

<file path=customXml/itemProps1.xml><?xml version="1.0" encoding="utf-8"?>
<ds:datastoreItem xmlns:ds="http://schemas.openxmlformats.org/officeDocument/2006/customXml" ds:itemID="{bebfe93b-b488-4d08-92d6-9a4c12a77d39}">
  <ds:schemaRefs/>
</ds:datastoreItem>
</file>

<file path=docProps/app.xml><?xml version="1.0" encoding="utf-8"?>
<Properties xmlns="http://schemas.openxmlformats.org/officeDocument/2006/extended-properties" xmlns:vt="http://schemas.openxmlformats.org/officeDocument/2006/docPropsVTypes">
  <Template>Normal.dotm</Template>
  <Pages>91</Pages>
  <Words>17575</Words>
  <Characters>18195</Characters>
  <Lines>28</Lines>
  <Paragraphs>8</Paragraphs>
  <TotalTime>279</TotalTime>
  <ScaleCrop>false</ScaleCrop>
  <LinksUpToDate>false</LinksUpToDate>
  <CharactersWithSpaces>18272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2026-01-30T07:03:00Z</dcterms:created>
  <dc:creator>张 斌</dc:creator>
  <cp:lastModifiedBy>zz.</cp:lastModifiedBy>
  <cp:lastPrinted>2026-03-30T07:07:56Z</cp:lastPrinted>
  <dcterms:modified xsi:type="dcterms:W3CDTF">2026-03-30T07:45:53Z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A092BBF1D1A84FCF8EDEC46C90E8FCDD_13</vt:lpwstr>
  </property>
  <property fmtid="{D5CDD505-2E9C-101B-9397-08002B2CF9AE}" pid="4" name="KSOTemplateDocerSaveRecord">
    <vt:lpwstr>eyJoZGlkIjoiNmNmYmI4YmE1M2NkMWY1OGRjNmM0OTAzNjZiYjcwYmQiLCJ1c2VySWQiOiIxMzgyMjc3MzEzIn0=</vt:lpwstr>
  </property>
</Properties>
</file>