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1CD55">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bookmarkStart w:id="0" w:name="_Hlk114129986"/>
    </w:p>
    <w:p w14:paraId="3160403D">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p>
    <w:p w14:paraId="6A6C499D">
      <w:pPr>
        <w:keepNext w:val="0"/>
        <w:keepLines w:val="0"/>
        <w:pageBreakBefore w:val="0"/>
        <w:kinsoku/>
        <w:wordWrap/>
        <w:overflowPunct/>
        <w:topLinePunct w:val="0"/>
        <w:autoSpaceDE/>
        <w:autoSpaceDN/>
        <w:bidi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“挑战杯”首都大学生课外学术科技作品竞赛章程</w:t>
      </w:r>
      <w:bookmarkEnd w:id="0"/>
    </w:p>
    <w:p w14:paraId="5750FF93">
      <w:pPr>
        <w:keepNext w:val="0"/>
        <w:keepLines w:val="0"/>
        <w:pageBreakBefore w:val="0"/>
        <w:kinsoku/>
        <w:wordWrap/>
        <w:overflowPunct/>
        <w:topLinePunct w:val="0"/>
        <w:autoSpaceDE/>
        <w:autoSpaceDN/>
        <w:bidi w:val="0"/>
        <w:spacing w:line="560" w:lineRule="exact"/>
        <w:jc w:val="center"/>
        <w:rPr>
          <w:rFonts w:ascii="Times New Roman" w:hAnsi="Times New Roman" w:eastAsia="华文中宋"/>
          <w:b/>
          <w:sz w:val="32"/>
          <w:szCs w:val="32"/>
        </w:rPr>
      </w:pPr>
    </w:p>
    <w:p w14:paraId="596987B0">
      <w:pPr>
        <w:keepNext w:val="0"/>
        <w:keepLines w:val="0"/>
        <w:pageBreakBefore w:val="0"/>
        <w:kinsoku/>
        <w:wordWrap/>
        <w:overflowPunct/>
        <w:topLinePunct w:val="0"/>
        <w:autoSpaceDE/>
        <w:autoSpaceDN/>
        <w:bidi w:val="0"/>
        <w:spacing w:before="156" w:beforeLines="50" w:after="156" w:afterLines="50" w:line="560" w:lineRule="exact"/>
        <w:jc w:val="center"/>
        <w:rPr>
          <w:rFonts w:ascii="Times New Roman" w:hAnsi="Times New Roman" w:eastAsia="黑体"/>
          <w:bCs/>
          <w:sz w:val="32"/>
          <w:szCs w:val="30"/>
        </w:rPr>
      </w:pPr>
      <w:r>
        <w:rPr>
          <w:rFonts w:hint="eastAsia" w:ascii="Times New Roman" w:hAnsi="Times New Roman" w:eastAsia="黑体"/>
          <w:bCs/>
          <w:sz w:val="32"/>
          <w:szCs w:val="30"/>
        </w:rPr>
        <w:t>第一章  总  则</w:t>
      </w:r>
    </w:p>
    <w:p w14:paraId="40874A3F">
      <w:pPr>
        <w:keepNext w:val="0"/>
        <w:keepLines w:val="0"/>
        <w:pageBreakBefore w:val="0"/>
        <w:tabs>
          <w:tab w:val="left" w:pos="1843"/>
          <w:tab w:val="left" w:pos="1985"/>
        </w:tabs>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第一条</w:t>
      </w:r>
      <w:r>
        <w:rPr>
          <w:rFonts w:hint="eastAsia" w:ascii="Times New Roman" w:hAnsi="Times New Roman" w:eastAsia="仿宋_GB2312"/>
          <w:sz w:val="32"/>
          <w:szCs w:val="30"/>
        </w:rPr>
        <w:t xml:space="preserve">  “挑战杯”首都大学生课外学术科技作品竞赛是由北京团市委、北京市教委、北京市科协、北京市学联联合主办的</w:t>
      </w:r>
      <w:r>
        <w:rPr>
          <w:rFonts w:hint="eastAsia" w:ascii="Times New Roman" w:hAnsi="Times New Roman" w:eastAsia="仿宋_GB2312" w:cs="Times New Roman"/>
          <w:sz w:val="32"/>
          <w:szCs w:val="32"/>
        </w:rPr>
        <w:t>一项具有导向性、示范性和群众性的大学生科技创新竞赛活动，每两年举办一届。</w:t>
      </w:r>
    </w:p>
    <w:p w14:paraId="21382E87">
      <w:pPr>
        <w:keepNext w:val="0"/>
        <w:keepLines w:val="0"/>
        <w:pageBreakBefore w:val="0"/>
        <w:tabs>
          <w:tab w:val="left" w:pos="1843"/>
          <w:tab w:val="left" w:pos="1985"/>
        </w:tabs>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第二条</w:t>
      </w:r>
      <w:r>
        <w:rPr>
          <w:rFonts w:hint="eastAsia" w:ascii="Times New Roman" w:hAnsi="Times New Roman" w:eastAsia="仿宋_GB2312"/>
          <w:sz w:val="32"/>
          <w:szCs w:val="30"/>
        </w:rPr>
        <w:t xml:space="preserve"> </w:t>
      </w:r>
      <w:bookmarkStart w:id="1" w:name="_GoBack"/>
      <w:bookmarkEnd w:id="1"/>
      <w:r>
        <w:rPr>
          <w:rFonts w:hint="eastAsia" w:ascii="Times New Roman" w:hAnsi="Times New Roman" w:eastAsia="仿宋_GB2312"/>
          <w:sz w:val="32"/>
          <w:szCs w:val="30"/>
        </w:rPr>
        <w:t xml:space="preserve"> 竞赛的宗旨：崇尚科学、追求真知、勤奋学习、锐意创新、迎接挑战。</w:t>
      </w:r>
    </w:p>
    <w:p w14:paraId="035DAA24">
      <w:pPr>
        <w:keepNext w:val="0"/>
        <w:keepLines w:val="0"/>
        <w:pageBreakBefore w:val="0"/>
        <w:tabs>
          <w:tab w:val="left" w:pos="1843"/>
          <w:tab w:val="left" w:pos="1985"/>
        </w:tabs>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第三条</w:t>
      </w:r>
      <w:r>
        <w:rPr>
          <w:rFonts w:hint="eastAsia" w:ascii="Times New Roman" w:hAnsi="Times New Roman" w:eastAsia="仿宋_GB2312"/>
          <w:sz w:val="32"/>
          <w:szCs w:val="30"/>
        </w:rPr>
        <w:t xml:space="preserve">  竞赛的目的：引导和激励首都高校</w:t>
      </w:r>
      <w:r>
        <w:rPr>
          <w:rFonts w:hint="eastAsia" w:ascii="Times New Roman" w:hAnsi="Times New Roman" w:eastAsia="仿宋_GB2312" w:cs="Times New Roman"/>
          <w:sz w:val="32"/>
          <w:szCs w:val="32"/>
        </w:rPr>
        <w:t>学生实事求是、刻苦钻研、勇于创新、多出成果、提高素质，培养学生创新精神和实践能力，带动</w:t>
      </w:r>
      <w:r>
        <w:rPr>
          <w:rFonts w:hint="eastAsia" w:ascii="Times New Roman" w:hAnsi="Times New Roman" w:eastAsia="仿宋_GB2312" w:cs="Times New Roman"/>
          <w:sz w:val="32"/>
          <w:szCs w:val="32"/>
          <w:lang w:val="en-US" w:eastAsia="zh-CN"/>
        </w:rPr>
        <w:t>首都</w:t>
      </w:r>
      <w:r>
        <w:rPr>
          <w:rFonts w:hint="eastAsia" w:ascii="Times New Roman" w:hAnsi="Times New Roman" w:eastAsia="仿宋_GB2312" w:cs="Times New Roman"/>
          <w:sz w:val="32"/>
          <w:szCs w:val="32"/>
        </w:rPr>
        <w:t>高校学生课外学术科技活动蓬勃开展，助力发现和培养更多拔尖创新人才。紧密围绕科教兴国战略、人才强国战略、创新驱动发展战略，鼓励学以致用，推动产学研融合互促，助力培育和发展新质生产力，服务国家经济、政治、文化、社会、生态文明建设。</w:t>
      </w:r>
    </w:p>
    <w:p w14:paraId="3B54EA4A">
      <w:pPr>
        <w:keepNext w:val="0"/>
        <w:keepLines w:val="0"/>
        <w:pageBreakBefore w:val="0"/>
        <w:tabs>
          <w:tab w:val="left" w:pos="1843"/>
          <w:tab w:val="left" w:pos="1985"/>
        </w:tabs>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第四条</w:t>
      </w:r>
      <w:r>
        <w:rPr>
          <w:rFonts w:hint="eastAsia" w:ascii="Times New Roman" w:hAnsi="Times New Roman" w:eastAsia="仿宋_GB2312"/>
          <w:sz w:val="32"/>
          <w:szCs w:val="30"/>
        </w:rPr>
        <w:t xml:space="preserve">  竞赛的基本方式：高等学校在校学生申报自然科学类学术论文、哲学社会科学类社会调查报告、科技发明制作三类作品参赛；聘请专家评定出具有较高学术理论水平、实际应用价值和创新意义的优秀作品，给予奖励；组织学术交流和科技成果的展览、转让活动。</w:t>
      </w:r>
    </w:p>
    <w:p w14:paraId="43ACF019">
      <w:pPr>
        <w:keepNext w:val="0"/>
        <w:keepLines w:val="0"/>
        <w:pageBreakBefore w:val="0"/>
        <w:kinsoku/>
        <w:wordWrap/>
        <w:overflowPunct/>
        <w:topLinePunct w:val="0"/>
        <w:autoSpaceDE/>
        <w:autoSpaceDN/>
        <w:bidi w:val="0"/>
        <w:spacing w:before="156" w:beforeLines="50" w:after="156" w:afterLines="50" w:line="560" w:lineRule="exact"/>
        <w:jc w:val="center"/>
        <w:rPr>
          <w:rFonts w:ascii="Times New Roman" w:hAnsi="Times New Roman" w:eastAsia="黑体"/>
          <w:bCs/>
          <w:sz w:val="32"/>
          <w:szCs w:val="30"/>
        </w:rPr>
      </w:pPr>
      <w:r>
        <w:rPr>
          <w:rFonts w:hint="eastAsia" w:ascii="Times New Roman" w:hAnsi="Times New Roman" w:eastAsia="黑体"/>
          <w:bCs/>
          <w:sz w:val="32"/>
          <w:szCs w:val="30"/>
        </w:rPr>
        <w:t>第二章  组织机构及其职责</w:t>
      </w:r>
    </w:p>
    <w:p w14:paraId="5C83D967">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第五条</w:t>
      </w:r>
      <w:r>
        <w:rPr>
          <w:rFonts w:hint="eastAsia" w:ascii="Times New Roman" w:hAnsi="Times New Roman" w:eastAsia="仿宋_GB2312"/>
          <w:sz w:val="32"/>
          <w:szCs w:val="30"/>
        </w:rPr>
        <w:t xml:space="preserve">  竞赛设立领导小组，由主办单位和承办单位的有关责任人组成，负责指导竞赛活动，并对竞赛组织委员会和竞赛评审委员会提交的问题进行协调和裁决。</w:t>
      </w:r>
    </w:p>
    <w:p w14:paraId="49383AF4">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第六条</w:t>
      </w:r>
      <w:r>
        <w:rPr>
          <w:rFonts w:hint="eastAsia" w:ascii="Times New Roman" w:hAnsi="Times New Roman" w:eastAsia="仿宋_GB2312"/>
          <w:sz w:val="32"/>
          <w:szCs w:val="30"/>
        </w:rPr>
        <w:t xml:space="preserve">  竞赛设立组织委员会，由主办单位、承办单位和联合发起单位（含高校、新闻单位、相关企业）的有关负责人组成。主办单位和承办单位分别委派有关负责同志作为组委会成员，各联合发起单位推荐一名主管领导作为组委会成员。</w:t>
      </w:r>
    </w:p>
    <w:p w14:paraId="0D3A8A1F">
      <w:pPr>
        <w:keepNext w:val="0"/>
        <w:keepLines w:val="0"/>
        <w:pageBreakBefore w:val="0"/>
        <w:tabs>
          <w:tab w:val="left" w:pos="709"/>
          <w:tab w:val="left" w:pos="1701"/>
          <w:tab w:val="left" w:pos="1843"/>
        </w:tabs>
        <w:kinsoku/>
        <w:wordWrap/>
        <w:overflowPunct/>
        <w:topLinePunct w:val="0"/>
        <w:autoSpaceDE/>
        <w:autoSpaceDN/>
        <w:bidi w:val="0"/>
        <w:spacing w:line="560" w:lineRule="exact"/>
        <w:ind w:left="560"/>
        <w:rPr>
          <w:rFonts w:ascii="Times New Roman" w:hAnsi="Times New Roman" w:eastAsia="仿宋_GB2312"/>
          <w:sz w:val="32"/>
          <w:szCs w:val="30"/>
        </w:rPr>
      </w:pPr>
      <w:r>
        <w:rPr>
          <w:rFonts w:hint="eastAsia" w:ascii="Times New Roman" w:hAnsi="Times New Roman" w:eastAsia="黑体"/>
          <w:sz w:val="32"/>
          <w:szCs w:val="30"/>
        </w:rPr>
        <w:t>第七条</w:t>
      </w:r>
      <w:r>
        <w:rPr>
          <w:rFonts w:hint="eastAsia" w:ascii="Times New Roman" w:hAnsi="Times New Roman" w:eastAsia="仿宋_GB2312"/>
          <w:sz w:val="32"/>
          <w:szCs w:val="30"/>
        </w:rPr>
        <w:t xml:space="preserve">  竞赛组织委员会的职责如下：</w:t>
      </w:r>
    </w:p>
    <w:p w14:paraId="19D174D2">
      <w:pPr>
        <w:keepNext w:val="0"/>
        <w:keepLines w:val="0"/>
        <w:pageBreakBefore w:val="0"/>
        <w:kinsoku/>
        <w:wordWrap/>
        <w:overflowPunct/>
        <w:topLinePunct w:val="0"/>
        <w:autoSpaceDE/>
        <w:autoSpaceDN/>
        <w:bidi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 xml:space="preserve">    </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一</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审议、修改竞赛的章程；</w:t>
      </w:r>
    </w:p>
    <w:p w14:paraId="137B608D">
      <w:pPr>
        <w:keepNext w:val="0"/>
        <w:keepLines w:val="0"/>
        <w:pageBreakBefore w:val="0"/>
        <w:kinsoku/>
        <w:wordWrap/>
        <w:overflowPunct/>
        <w:topLinePunct w:val="0"/>
        <w:autoSpaceDE/>
        <w:autoSpaceDN/>
        <w:bidi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 xml:space="preserve">    </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二</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筹集竞赛组织、评审、奖励所需的经费；</w:t>
      </w:r>
    </w:p>
    <w:p w14:paraId="7F33C6E7">
      <w:pPr>
        <w:keepNext w:val="0"/>
        <w:keepLines w:val="0"/>
        <w:pageBreakBefore w:val="0"/>
        <w:kinsoku/>
        <w:wordWrap/>
        <w:overflowPunct/>
        <w:topLinePunct w:val="0"/>
        <w:autoSpaceDE/>
        <w:autoSpaceDN/>
        <w:bidi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 xml:space="preserve">   </w:t>
      </w:r>
      <w:r>
        <w:rPr>
          <w:rFonts w:ascii="Times New Roman" w:hAnsi="Times New Roman" w:eastAsia="仿宋_GB2312"/>
          <w:sz w:val="32"/>
          <w:szCs w:val="30"/>
        </w:rPr>
        <w:t xml:space="preserve"> </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三</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投票表决竞赛承办高校；</w:t>
      </w:r>
    </w:p>
    <w:p w14:paraId="00628947">
      <w:pPr>
        <w:keepNext w:val="0"/>
        <w:keepLines w:val="0"/>
        <w:pageBreakBefore w:val="0"/>
        <w:kinsoku/>
        <w:wordWrap/>
        <w:overflowPunct/>
        <w:topLinePunct w:val="0"/>
        <w:autoSpaceDE/>
        <w:autoSpaceDN/>
        <w:bidi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 xml:space="preserve">   </w:t>
      </w:r>
      <w:r>
        <w:rPr>
          <w:rFonts w:ascii="Times New Roman" w:hAnsi="Times New Roman" w:eastAsia="仿宋_GB2312"/>
          <w:sz w:val="32"/>
          <w:szCs w:val="30"/>
        </w:rPr>
        <w:t xml:space="preserve"> </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四</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议决</w:t>
      </w:r>
      <w:r>
        <w:rPr>
          <w:rFonts w:hint="eastAsia" w:eastAsia="仿宋_GB2312"/>
          <w:sz w:val="32"/>
          <w:szCs w:val="30"/>
          <w:lang w:eastAsia="zh-CN"/>
        </w:rPr>
        <w:t>其他</w:t>
      </w:r>
      <w:r>
        <w:rPr>
          <w:rFonts w:hint="eastAsia" w:ascii="Times New Roman" w:hAnsi="Times New Roman" w:eastAsia="仿宋_GB2312"/>
          <w:sz w:val="32"/>
          <w:szCs w:val="30"/>
        </w:rPr>
        <w:t>应该由组委会议决的事项。</w:t>
      </w:r>
    </w:p>
    <w:p w14:paraId="5F3917EC">
      <w:pPr>
        <w:keepNext w:val="0"/>
        <w:keepLines w:val="0"/>
        <w:pageBreakBefore w:val="0"/>
        <w:kinsoku/>
        <w:wordWrap/>
        <w:overflowPunct/>
        <w:topLinePunct w:val="0"/>
        <w:autoSpaceDE/>
        <w:autoSpaceDN/>
        <w:bidi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 xml:space="preserve">    </w:t>
      </w:r>
      <w:r>
        <w:rPr>
          <w:rFonts w:hint="eastAsia" w:ascii="Times New Roman" w:hAnsi="Times New Roman" w:eastAsia="黑体"/>
          <w:sz w:val="32"/>
          <w:szCs w:val="30"/>
        </w:rPr>
        <w:t>第八条</w:t>
      </w:r>
      <w:r>
        <w:rPr>
          <w:rFonts w:hint="eastAsia" w:ascii="Times New Roman" w:hAnsi="Times New Roman" w:eastAsia="仿宋_GB2312"/>
          <w:sz w:val="32"/>
          <w:szCs w:val="30"/>
        </w:rPr>
        <w:t xml:space="preserve">  竞赛组织委员会下设秘书处，负责按照竞赛组委会通过的章程组织竞赛活动并向竞赛组委会报告工作。秘书处设秘书长一名，由相关单位领导担任；设副秘书长若干名。</w:t>
      </w:r>
    </w:p>
    <w:p w14:paraId="2C579C3E">
      <w:pPr>
        <w:keepNext w:val="0"/>
        <w:keepLines w:val="0"/>
        <w:pageBreakBefore w:val="0"/>
        <w:kinsoku/>
        <w:wordWrap/>
        <w:overflowPunct/>
        <w:topLinePunct w:val="0"/>
        <w:autoSpaceDE/>
        <w:autoSpaceDN/>
        <w:bidi w:val="0"/>
        <w:spacing w:line="560" w:lineRule="exact"/>
        <w:ind w:firstLine="645"/>
        <w:rPr>
          <w:rFonts w:ascii="Times New Roman" w:hAnsi="Times New Roman" w:eastAsia="仿宋_GB2312"/>
          <w:color w:val="FF0000"/>
          <w:sz w:val="32"/>
          <w:szCs w:val="30"/>
        </w:rPr>
      </w:pPr>
      <w:r>
        <w:rPr>
          <w:rFonts w:hint="eastAsia" w:ascii="Times New Roman" w:hAnsi="Times New Roman" w:eastAsia="黑体"/>
          <w:sz w:val="32"/>
          <w:szCs w:val="30"/>
        </w:rPr>
        <w:t>第九条</w:t>
      </w:r>
      <w:r>
        <w:rPr>
          <w:rFonts w:ascii="Times New Roman" w:hAnsi="Times New Roman" w:eastAsia="仿宋_GB2312"/>
          <w:sz w:val="32"/>
          <w:szCs w:val="30"/>
        </w:rPr>
        <w:t xml:space="preserve">  </w:t>
      </w:r>
      <w:r>
        <w:rPr>
          <w:rFonts w:hint="eastAsia" w:ascii="Times New Roman" w:hAnsi="Times New Roman" w:eastAsia="仿宋_GB2312"/>
          <w:sz w:val="32"/>
          <w:szCs w:val="30"/>
        </w:rPr>
        <w:t>竞赛设立竞赛评审委员会，由主办单位聘请的相关学科具有高级职称的专家组成。</w:t>
      </w:r>
    </w:p>
    <w:p w14:paraId="3811C0C7">
      <w:pPr>
        <w:keepNext w:val="0"/>
        <w:keepLines w:val="0"/>
        <w:pageBreakBefore w:val="0"/>
        <w:kinsoku/>
        <w:wordWrap/>
        <w:overflowPunct/>
        <w:topLinePunct w:val="0"/>
        <w:autoSpaceDE/>
        <w:autoSpaceDN/>
        <w:bidi w:val="0"/>
        <w:spacing w:line="560" w:lineRule="exact"/>
        <w:ind w:firstLine="645"/>
        <w:rPr>
          <w:rFonts w:ascii="Times New Roman" w:hAnsi="Times New Roman" w:eastAsia="仿宋_GB2312"/>
          <w:color w:val="FF0000"/>
          <w:sz w:val="32"/>
          <w:szCs w:val="30"/>
        </w:rPr>
      </w:pPr>
      <w:r>
        <w:rPr>
          <w:rFonts w:hint="eastAsia" w:ascii="Times New Roman" w:hAnsi="Times New Roman" w:eastAsia="黑体"/>
          <w:sz w:val="32"/>
          <w:szCs w:val="30"/>
        </w:rPr>
        <w:t>第十条</w:t>
      </w:r>
      <w:r>
        <w:rPr>
          <w:rFonts w:hint="eastAsia" w:ascii="Times New Roman" w:hAnsi="Times New Roman" w:eastAsia="仿宋_GB2312"/>
          <w:sz w:val="32"/>
          <w:szCs w:val="30"/>
        </w:rPr>
        <w:t xml:space="preserve"> 竞赛评审委员会职责如下：</w:t>
      </w:r>
    </w:p>
    <w:p w14:paraId="1C1D6C5C">
      <w:pPr>
        <w:keepNext w:val="0"/>
        <w:keepLines w:val="0"/>
        <w:pageBreakBefore w:val="0"/>
        <w:kinsoku/>
        <w:wordWrap/>
        <w:overflowPunct/>
        <w:topLinePunct w:val="0"/>
        <w:autoSpaceDE/>
        <w:autoSpaceDN/>
        <w:bidi w:val="0"/>
        <w:spacing w:line="560" w:lineRule="exact"/>
        <w:ind w:firstLine="645"/>
        <w:rPr>
          <w:rFonts w:ascii="Times New Roman" w:hAnsi="Times New Roman" w:eastAsia="仿宋_GB2312"/>
          <w:color w:val="FF0000"/>
          <w:sz w:val="32"/>
          <w:szCs w:val="30"/>
        </w:rPr>
      </w:pP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一</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在本章程和评审规则基础上制定评审实施细则；</w:t>
      </w:r>
    </w:p>
    <w:p w14:paraId="2FD2C5A3">
      <w:pPr>
        <w:keepNext w:val="0"/>
        <w:keepLines w:val="0"/>
        <w:pageBreakBefore w:val="0"/>
        <w:kinsoku/>
        <w:wordWrap/>
        <w:overflowPunct/>
        <w:topLinePunct w:val="0"/>
        <w:autoSpaceDE/>
        <w:autoSpaceDN/>
        <w:bidi w:val="0"/>
        <w:spacing w:line="560" w:lineRule="exact"/>
        <w:ind w:firstLine="645"/>
        <w:rPr>
          <w:rFonts w:ascii="Times New Roman" w:hAnsi="Times New Roman" w:eastAsia="仿宋_GB2312"/>
          <w:color w:val="FF0000"/>
          <w:sz w:val="32"/>
          <w:szCs w:val="30"/>
        </w:rPr>
      </w:pP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二</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审查参赛作品及其演示，对作者进行问辩；</w:t>
      </w:r>
    </w:p>
    <w:p w14:paraId="43F4CB3E">
      <w:pPr>
        <w:keepNext w:val="0"/>
        <w:keepLines w:val="0"/>
        <w:pageBreakBefore w:val="0"/>
        <w:kinsoku/>
        <w:wordWrap/>
        <w:overflowPunct/>
        <w:topLinePunct w:val="0"/>
        <w:autoSpaceDE/>
        <w:autoSpaceDN/>
        <w:bidi w:val="0"/>
        <w:spacing w:line="560" w:lineRule="exact"/>
        <w:ind w:firstLine="645"/>
        <w:rPr>
          <w:rFonts w:ascii="Times New Roman" w:hAnsi="Times New Roman" w:eastAsia="仿宋_GB2312"/>
          <w:sz w:val="32"/>
          <w:szCs w:val="30"/>
        </w:rPr>
      </w:pP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三</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确定参赛作品获奖等次。</w:t>
      </w:r>
    </w:p>
    <w:p w14:paraId="2125D8E0">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color w:val="000000"/>
          <w:sz w:val="32"/>
          <w:szCs w:val="30"/>
        </w:rPr>
      </w:pPr>
      <w:r>
        <w:rPr>
          <w:rFonts w:hint="eastAsia" w:ascii="Times New Roman" w:hAnsi="Times New Roman" w:eastAsia="黑体"/>
          <w:color w:val="000000"/>
          <w:sz w:val="32"/>
          <w:szCs w:val="30"/>
        </w:rPr>
        <w:t>第十一条</w:t>
      </w:r>
      <w:r>
        <w:rPr>
          <w:rFonts w:hint="eastAsia" w:ascii="Times New Roman" w:hAnsi="Times New Roman" w:eastAsia="仿宋_GB2312"/>
          <w:color w:val="000000"/>
          <w:sz w:val="32"/>
          <w:szCs w:val="30"/>
        </w:rPr>
        <w:t xml:space="preserve">  竞赛组委会秘书处对参赛作品保有投诉质疑权利，</w:t>
      </w:r>
      <w:r>
        <w:rPr>
          <w:rFonts w:hint="eastAsia" w:ascii="Times New Roman" w:hAnsi="Times New Roman" w:eastAsia="仿宋_GB2312"/>
          <w:sz w:val="32"/>
          <w:szCs w:val="30"/>
        </w:rPr>
        <w:t>设竞赛监督办公室，接收实名质疑，依照程序进行处理。</w:t>
      </w:r>
      <w:r>
        <w:rPr>
          <w:rFonts w:hint="eastAsia" w:ascii="Times New Roman" w:hAnsi="Times New Roman" w:eastAsia="仿宋_GB2312"/>
          <w:color w:val="000000"/>
          <w:sz w:val="32"/>
          <w:szCs w:val="30"/>
        </w:rPr>
        <w:t>质疑投诉者的姓名、单位予以保密。质疑投诉者需提供相关证据或明确的线索。竞赛组委会将对该申报作品进行质疑调查，如情况属实，则评委会对该作品不予评审，其参赛得分随之取消。竞赛组委会秘书处不受理匿名质疑投诉。</w:t>
      </w:r>
    </w:p>
    <w:p w14:paraId="43FDCA90">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第十二条</w:t>
      </w:r>
      <w:r>
        <w:rPr>
          <w:rFonts w:hint="eastAsia" w:ascii="Times New Roman" w:hAnsi="Times New Roman" w:eastAsia="仿宋_GB2312"/>
          <w:sz w:val="32"/>
          <w:szCs w:val="30"/>
        </w:rPr>
        <w:t xml:space="preserve">  主办单位综合考虑各高校在上一届“挑战杯”竞赛的获奖情况确定</w:t>
      </w:r>
      <w:r>
        <w:rPr>
          <w:rFonts w:ascii="Times New Roman" w:hAnsi="Times New Roman" w:eastAsia="仿宋_GB2312"/>
          <w:sz w:val="32"/>
          <w:szCs w:val="30"/>
        </w:rPr>
        <w:t>20</w:t>
      </w:r>
      <w:r>
        <w:rPr>
          <w:rFonts w:hint="eastAsia" w:ascii="Times New Roman" w:hAnsi="Times New Roman" w:eastAsia="仿宋_GB2312"/>
          <w:sz w:val="32"/>
          <w:szCs w:val="30"/>
        </w:rPr>
        <w:t>所联合发起高校，并可根据终审决赛规模、承办高校等因素</w:t>
      </w:r>
      <w:r>
        <w:rPr>
          <w:rFonts w:hint="eastAsia" w:eastAsia="仿宋_GB2312"/>
          <w:sz w:val="32"/>
          <w:szCs w:val="30"/>
          <w:lang w:eastAsia="zh-CN"/>
        </w:rPr>
        <w:t>做部分调整</w:t>
      </w:r>
      <w:r>
        <w:rPr>
          <w:rFonts w:hint="eastAsia" w:ascii="Times New Roman" w:hAnsi="Times New Roman" w:eastAsia="仿宋_GB2312"/>
          <w:sz w:val="32"/>
          <w:szCs w:val="30"/>
        </w:rPr>
        <w:t>。</w:t>
      </w:r>
    </w:p>
    <w:p w14:paraId="7A50D133">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第十三条</w:t>
      </w:r>
      <w:r>
        <w:rPr>
          <w:rFonts w:hint="eastAsia" w:ascii="Times New Roman" w:hAnsi="Times New Roman" w:eastAsia="仿宋_GB2312"/>
          <w:sz w:val="32"/>
          <w:szCs w:val="30"/>
        </w:rPr>
        <w:t xml:space="preserve">  各高校应举办与竞赛接轨的届次化的学生科技创新竞赛。各高校团委、学生会、学生科协要高度重视、积极协调，负责本校选拔赛的组织协调、参赛作品资格审查和作品初审等有关工作。</w:t>
      </w:r>
    </w:p>
    <w:p w14:paraId="09767808">
      <w:pPr>
        <w:keepNext w:val="0"/>
        <w:keepLines w:val="0"/>
        <w:pageBreakBefore w:val="0"/>
        <w:kinsoku/>
        <w:wordWrap/>
        <w:overflowPunct/>
        <w:topLinePunct w:val="0"/>
        <w:autoSpaceDE/>
        <w:autoSpaceDN/>
        <w:bidi w:val="0"/>
        <w:spacing w:before="156" w:beforeLines="50" w:after="156" w:afterLines="50" w:line="560" w:lineRule="exact"/>
        <w:jc w:val="center"/>
        <w:rPr>
          <w:rFonts w:ascii="Times New Roman" w:hAnsi="Times New Roman" w:eastAsia="黑体"/>
          <w:bCs/>
          <w:sz w:val="32"/>
          <w:szCs w:val="30"/>
        </w:rPr>
      </w:pPr>
      <w:r>
        <w:rPr>
          <w:rFonts w:hint="eastAsia" w:ascii="Times New Roman" w:hAnsi="Times New Roman" w:eastAsia="黑体"/>
          <w:bCs/>
          <w:sz w:val="32"/>
          <w:szCs w:val="30"/>
        </w:rPr>
        <w:t>第三章  参赛资格与作品申报</w:t>
      </w:r>
    </w:p>
    <w:p w14:paraId="20E790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sz w:val="32"/>
          <w:szCs w:val="30"/>
          <w:lang w:val="en-US" w:eastAsia="zh-CN"/>
        </w:rPr>
      </w:pPr>
      <w:r>
        <w:rPr>
          <w:rFonts w:hint="eastAsia" w:ascii="Times New Roman" w:hAnsi="Times New Roman" w:eastAsia="黑体"/>
          <w:sz w:val="32"/>
          <w:szCs w:val="30"/>
        </w:rPr>
        <w:t>第十四条</w:t>
      </w:r>
      <w:r>
        <w:rPr>
          <w:rFonts w:hint="eastAsia" w:ascii="Times New Roman" w:hAnsi="Times New Roman" w:eastAsia="仿宋_GB2312"/>
          <w:sz w:val="32"/>
          <w:szCs w:val="30"/>
        </w:rPr>
        <w:t xml:space="preserve">  凡在举办竞赛决赛的当年</w:t>
      </w:r>
      <w:r>
        <w:rPr>
          <w:rFonts w:ascii="Times New Roman" w:hAnsi="Times New Roman" w:eastAsia="仿宋_GB2312"/>
          <w:sz w:val="32"/>
          <w:szCs w:val="30"/>
        </w:rPr>
        <w:t>6</w:t>
      </w:r>
      <w:r>
        <w:rPr>
          <w:rFonts w:hint="eastAsia" w:ascii="Times New Roman" w:hAnsi="Times New Roman" w:eastAsia="仿宋_GB2312"/>
          <w:sz w:val="32"/>
          <w:szCs w:val="30"/>
        </w:rPr>
        <w:t>月1日以前正式注册的全日制非成人教育的各类高等院校在校专科生、本科生、硕士研究生都可申报作品竞赛</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博士研究生仅可申报专项赛</w:t>
      </w:r>
      <w:r>
        <w:rPr>
          <w:rFonts w:hint="eastAsia" w:ascii="Times New Roman" w:hAnsi="Times New Roman" w:eastAsia="仿宋_GB2312"/>
          <w:sz w:val="32"/>
          <w:szCs w:val="30"/>
        </w:rPr>
        <w:t>（均不含在职研究生）</w:t>
      </w:r>
      <w:r>
        <w:rPr>
          <w:rFonts w:hint="eastAsia" w:ascii="Times New Roman" w:hAnsi="Times New Roman" w:eastAsia="仿宋_GB2312"/>
          <w:sz w:val="32"/>
          <w:szCs w:val="30"/>
          <w:lang w:val="en-US" w:eastAsia="zh-CN"/>
        </w:rPr>
        <w:t>。</w:t>
      </w:r>
    </w:p>
    <w:p w14:paraId="6EB12733">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第十五条</w:t>
      </w:r>
      <w:r>
        <w:rPr>
          <w:rFonts w:hint="eastAsia" w:ascii="Times New Roman" w:hAnsi="Times New Roman" w:eastAsia="仿宋_GB2312"/>
          <w:sz w:val="32"/>
          <w:szCs w:val="30"/>
        </w:rPr>
        <w:t xml:space="preserve">  </w:t>
      </w:r>
      <w:r>
        <w:rPr>
          <w:rFonts w:hint="eastAsia" w:ascii="Times New Roman" w:hAnsi="Times New Roman" w:eastAsia="仿宋_GB2312" w:cs="Times New Roman"/>
          <w:sz w:val="32"/>
          <w:szCs w:val="32"/>
        </w:rPr>
        <w:t>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者集体作品，均按学历最高的作者划分至本专科生或者硕士研究生类进行评审。</w:t>
      </w:r>
    </w:p>
    <w:p w14:paraId="1D39B6B5">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2"/>
        </w:rPr>
        <w:t>学校方面对参赛项目进行首轮资格自查，并向组委会提交自查报告书，确保参赛项目符合“挑战杯”竞赛申报作品的要求。竞赛组委会对参赛项目进行资格复审，一旦发现不符合申报要求或严重违规作品，将取消参赛资格，该学校不得补报作品。经核实有舞弊、抄袭、作假等的作品，从该参赛学校总分中扣除相当于三等奖分值的双倍分数，同时取消该学校参评集体奖项的资格。</w:t>
      </w:r>
    </w:p>
    <w:p w14:paraId="48888C1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校硕博连读生（直博生）若在决赛当年6月1日以前未通过博士资格考试的，可以按硕士生学历申报作品。没有实行资格考试制度的学校，前两年可以按硕士学历申报作品。本硕博连读生，按照四年、二年分别对应本、硕申报，后续则不可申报。</w:t>
      </w:r>
    </w:p>
    <w:p w14:paraId="18F3EEF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毕业设计和课程设计（论文）、学年论文和学位论文、国际竞赛中获奖的作品、获国家级奖励成果（含本竞赛主办单位参与举办的其他全国性竞赛的获奖作品）等均不在申报范围之列。</w:t>
      </w:r>
    </w:p>
    <w:p w14:paraId="2E6F286C">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第十六条</w:t>
      </w:r>
      <w:r>
        <w:rPr>
          <w:rFonts w:hint="eastAsia" w:ascii="Times New Roman" w:hAnsi="Times New Roman" w:eastAsia="仿宋_GB2312"/>
          <w:sz w:val="32"/>
          <w:szCs w:val="30"/>
        </w:rPr>
        <w:t xml:space="preserve">  申报参赛的作品分为自然科学类学术论文、哲学社会科学类社会调查报告、科技发明制作三类。自然科学类学术论文作者限本专科生。</w:t>
      </w:r>
      <w:r>
        <w:rPr>
          <w:rFonts w:hint="eastAsia" w:ascii="Times New Roman" w:hAnsi="Times New Roman" w:eastAsia="仿宋_GB2312" w:cs="Times New Roman"/>
          <w:sz w:val="32"/>
          <w:szCs w:val="32"/>
        </w:rPr>
        <w:t>哲学社会科学类可围绕经济、政治、文化、社会、生态文明建设等5个组别形成社会调查报告。科技发明制作类分为A、B两类：A类指科技含量较高、制作投入较大的作品；B类指投入较少，且为生产技术或者社会生活带来便利的小发明、小制作等。</w:t>
      </w:r>
    </w:p>
    <w:p w14:paraId="5B4B175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黑体"/>
          <w:sz w:val="32"/>
          <w:szCs w:val="30"/>
        </w:rPr>
        <w:t>第十七条</w:t>
      </w:r>
      <w:r>
        <w:rPr>
          <w:rFonts w:hint="eastAsia" w:ascii="Times New Roman" w:hAnsi="Times New Roman" w:eastAsia="仿宋_GB2312"/>
          <w:sz w:val="32"/>
          <w:szCs w:val="30"/>
        </w:rPr>
        <w:t xml:space="preserve">  </w:t>
      </w:r>
      <w:r>
        <w:rPr>
          <w:rFonts w:hint="eastAsia" w:ascii="Times New Roman" w:hAnsi="Times New Roman" w:eastAsia="仿宋_GB2312" w:cs="Times New Roman"/>
          <w:sz w:val="32"/>
          <w:szCs w:val="32"/>
        </w:rPr>
        <w:t>参赛作品涉及下列内容时，必须由申报者提供有关部门的证明材料，否则不予评审：</w:t>
      </w:r>
    </w:p>
    <w:p w14:paraId="6DA3A5E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（一）动植物新品种的发现或者培育，必须有省级以上农科部门或者科研院所开具证明；</w:t>
      </w:r>
    </w:p>
    <w:p w14:paraId="1CE54C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（二）对国家保护动植物的研究，必须有省级以上林业部门开具证明，证明该项研究的过程中未产生对所研究的动植物繁衍、生长不利的影响；</w:t>
      </w:r>
    </w:p>
    <w:p w14:paraId="38D582F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（三）新药物的研究必须有卫生行政部门授权机构的鉴定证明；</w:t>
      </w:r>
    </w:p>
    <w:p w14:paraId="4B80D7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（四）医疗卫生研究必须通过专家鉴定，原则上应附在公开发行的专业性杂志上发表过的文章；</w:t>
      </w:r>
    </w:p>
    <w:p w14:paraId="0378747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Times New Roman" w:hAnsi="Times New Roman" w:eastAsia="仿宋_GB2312"/>
          <w:sz w:val="32"/>
          <w:szCs w:val="30"/>
        </w:rPr>
      </w:pPr>
      <w:r>
        <w:rPr>
          <w:rFonts w:hint="eastAsia" w:ascii="Times New Roman" w:hAnsi="Times New Roman" w:eastAsia="仿宋_GB2312" w:cs="Times New Roman"/>
          <w:sz w:val="32"/>
          <w:szCs w:val="32"/>
        </w:rPr>
        <w:t>（五）涉及燃气用具等与人民生命财产安全有关用具的研究，必须有国家相应行政部门授权机构的认定证明。</w:t>
      </w:r>
    </w:p>
    <w:p w14:paraId="43116333">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第十八条</w:t>
      </w:r>
      <w:r>
        <w:rPr>
          <w:rFonts w:hint="eastAsia" w:ascii="Times New Roman" w:hAnsi="Times New Roman" w:eastAsia="仿宋_GB2312"/>
          <w:sz w:val="32"/>
          <w:szCs w:val="30"/>
        </w:rPr>
        <w:t xml:space="preserve"> </w:t>
      </w:r>
      <w:r>
        <w:rPr>
          <w:rFonts w:ascii="Times New Roman" w:hAnsi="Times New Roman" w:eastAsia="仿宋_GB2312"/>
          <w:sz w:val="32"/>
          <w:szCs w:val="30"/>
        </w:rPr>
        <w:t xml:space="preserve"> </w:t>
      </w:r>
      <w:r>
        <w:rPr>
          <w:rFonts w:hint="eastAsia" w:ascii="Times New Roman" w:hAnsi="Times New Roman" w:eastAsia="仿宋_GB2312"/>
          <w:sz w:val="32"/>
          <w:szCs w:val="30"/>
        </w:rPr>
        <w:t>参赛作品必须于申报前将作品名称、参赛学生和指导教师等关键信息在学校官方网站主页上进行不少于5天的公示，并将公示截图随作品一同报送。多个学校学生合作申报的项目，须注明学生、学校信息并在学生所在学校进行公示。</w:t>
      </w:r>
    </w:p>
    <w:p w14:paraId="0D17785E">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第十九条</w:t>
      </w:r>
      <w:r>
        <w:rPr>
          <w:rFonts w:hint="eastAsia" w:ascii="Times New Roman" w:hAnsi="Times New Roman" w:eastAsia="仿宋_GB2312"/>
          <w:sz w:val="32"/>
          <w:szCs w:val="30"/>
        </w:rPr>
        <w:t xml:space="preserve">  参赛作品必须由两名具有高级专业技术职称的指导教师（或教研组）推荐，经本校学籍管理、教务、科研管理部门审核确认。每件作品可由不超过</w:t>
      </w:r>
      <w:r>
        <w:rPr>
          <w:rFonts w:hint="eastAsia" w:ascii="Times New Roman" w:hAnsi="Times New Roman" w:eastAsia="仿宋_GB2312"/>
          <w:sz w:val="32"/>
          <w:szCs w:val="30"/>
          <w:lang w:val="en-US" w:eastAsia="zh-CN"/>
        </w:rPr>
        <w:t>3</w:t>
      </w:r>
      <w:r>
        <w:rPr>
          <w:rFonts w:hint="eastAsia" w:ascii="Times New Roman" w:hAnsi="Times New Roman" w:eastAsia="仿宋_GB2312"/>
          <w:sz w:val="32"/>
          <w:szCs w:val="30"/>
        </w:rPr>
        <w:t>名教师指导完成。作品完成竞赛申报后，作品题目、作者、指导教师等关键信息不得变动。</w:t>
      </w:r>
    </w:p>
    <w:p w14:paraId="587163A5">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第二十条</w:t>
      </w:r>
      <w:r>
        <w:rPr>
          <w:rFonts w:hint="eastAsia" w:ascii="Times New Roman" w:hAnsi="Times New Roman" w:eastAsia="仿宋_GB2312"/>
          <w:sz w:val="32"/>
          <w:szCs w:val="30"/>
        </w:rPr>
        <w:t xml:space="preserve">  每个学校选送参加</w:t>
      </w:r>
      <w:r>
        <w:rPr>
          <w:rFonts w:hint="eastAsia" w:ascii="Times New Roman" w:hAnsi="Times New Roman" w:eastAsia="仿宋_GB2312"/>
          <w:sz w:val="32"/>
          <w:szCs w:val="30"/>
          <w:lang w:val="en-US" w:eastAsia="zh-CN"/>
        </w:rPr>
        <w:t>主体赛</w:t>
      </w:r>
      <w:r>
        <w:rPr>
          <w:rFonts w:hint="eastAsia" w:ascii="Times New Roman" w:hAnsi="Times New Roman" w:eastAsia="仿宋_GB2312"/>
          <w:sz w:val="32"/>
          <w:szCs w:val="30"/>
        </w:rPr>
        <w:t>的作品总数不得超过15件，每类作品应有适当比例。每人限报一件，作品中研究生的作品不得超过作品总数的1/2</w:t>
      </w:r>
      <w:r>
        <w:rPr>
          <w:rFonts w:hint="eastAsia" w:ascii="Times New Roman" w:hAnsi="Times New Roman" w:eastAsia="仿宋_GB2312"/>
          <w:sz w:val="32"/>
          <w:szCs w:val="30"/>
          <w:lang w:eastAsia="zh-Hans"/>
        </w:rPr>
        <w:t>，若学校只招收研究生的，或只有</w:t>
      </w:r>
      <w:r>
        <w:rPr>
          <w:rFonts w:ascii="Times New Roman" w:hAnsi="Times New Roman" w:eastAsia="仿宋_GB2312"/>
          <w:sz w:val="32"/>
          <w:szCs w:val="30"/>
          <w:lang w:eastAsia="zh-Hans"/>
        </w:rPr>
        <w:t>1</w:t>
      </w:r>
      <w:r>
        <w:rPr>
          <w:rFonts w:hint="eastAsia" w:ascii="Times New Roman" w:hAnsi="Times New Roman" w:eastAsia="仿宋_GB2312"/>
          <w:sz w:val="32"/>
          <w:szCs w:val="30"/>
          <w:lang w:eastAsia="zh-Hans"/>
        </w:rPr>
        <w:t>件作品参加竞赛的，不受作品比例限制。</w:t>
      </w:r>
      <w:r>
        <w:rPr>
          <w:rFonts w:hint="eastAsia" w:ascii="Times New Roman" w:hAnsi="Times New Roman" w:eastAsia="仿宋_GB2312"/>
          <w:sz w:val="32"/>
          <w:szCs w:val="30"/>
        </w:rPr>
        <w:t>参赛作品须经过所在高校初步审定资格后，方可上报竞赛组委会办公室。各高校选送首都竞赛的作品数额由主办单位统一确定。</w:t>
      </w:r>
    </w:p>
    <w:p w14:paraId="1108A54F">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eastAsia="zh-Hans"/>
        </w:rPr>
        <w:t>一</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w:t>
      </w:r>
      <w:r>
        <w:rPr>
          <w:rFonts w:ascii="Times New Roman" w:hAnsi="Times New Roman" w:eastAsia="仿宋_GB2312"/>
          <w:sz w:val="32"/>
          <w:szCs w:val="30"/>
        </w:rPr>
        <w:t xml:space="preserve"> </w:t>
      </w:r>
      <w:r>
        <w:rPr>
          <w:rFonts w:hint="eastAsia" w:ascii="Times New Roman" w:hAnsi="Times New Roman" w:eastAsia="仿宋_GB2312"/>
          <w:sz w:val="32"/>
          <w:szCs w:val="30"/>
        </w:rPr>
        <w:t>竞赛设置</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人工智能+</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val="en-US" w:eastAsia="zh-CN"/>
        </w:rPr>
        <w:t>专项赛</w:t>
      </w:r>
      <w:r>
        <w:rPr>
          <w:rFonts w:hint="eastAsia" w:eastAsia="仿宋_GB2312"/>
          <w:sz w:val="32"/>
          <w:szCs w:val="30"/>
          <w:lang w:val="en-US" w:eastAsia="zh-CN"/>
        </w:rPr>
        <w:t>，</w:t>
      </w:r>
      <w:r>
        <w:rPr>
          <w:rFonts w:hint="eastAsia" w:ascii="Times New Roman" w:hAnsi="Times New Roman" w:eastAsia="仿宋_GB2312"/>
          <w:sz w:val="32"/>
          <w:szCs w:val="30"/>
        </w:rPr>
        <w:t>鼓励中外青年学生联合组队参赛，深入探索并挖掘人工智能的创新应用潜力。</w:t>
      </w:r>
      <w:r>
        <w:rPr>
          <w:rFonts w:hint="eastAsia" w:eastAsia="仿宋_GB2312"/>
          <w:sz w:val="32"/>
          <w:szCs w:val="30"/>
          <w:lang w:val="en-US" w:eastAsia="zh-CN"/>
        </w:rPr>
        <w:t>设置</w:t>
      </w:r>
      <w:r>
        <w:rPr>
          <w:rFonts w:hint="eastAsia" w:ascii="Times New Roman" w:hAnsi="Times New Roman" w:eastAsia="仿宋_GB2312"/>
          <w:sz w:val="32"/>
          <w:szCs w:val="30"/>
        </w:rPr>
        <w:t>“揭榜挂帅”机制专项赛，聚焦科技发展前沿和关键核心技术，聚焦哲学社会科学领域的重大课题和现实问题，由政府、企业、科研机构等单位发榜命题，学生团队揭榜答题。每个学校选送参加专项赛的作品数不设限制，但同一作品不得同时参加主体赛事自然科学类学术论文、哲学社会科学类调查报告、科技发明制作作品评比。</w:t>
      </w:r>
    </w:p>
    <w:p w14:paraId="13BA7E8D">
      <w:pPr>
        <w:keepNext w:val="0"/>
        <w:keepLines w:val="0"/>
        <w:pageBreakBefore w:val="0"/>
        <w:kinsoku/>
        <w:wordWrap/>
        <w:overflowPunct/>
        <w:topLinePunct w:val="0"/>
        <w:autoSpaceDE/>
        <w:autoSpaceDN/>
        <w:bidi w:val="0"/>
        <w:spacing w:before="156" w:beforeLines="50" w:after="156" w:afterLines="50" w:line="560" w:lineRule="exact"/>
        <w:jc w:val="center"/>
        <w:rPr>
          <w:rFonts w:ascii="Times New Roman" w:hAnsi="Times New Roman" w:eastAsia="黑体"/>
          <w:bCs/>
          <w:sz w:val="32"/>
          <w:szCs w:val="30"/>
        </w:rPr>
      </w:pPr>
      <w:r>
        <w:rPr>
          <w:rFonts w:hint="eastAsia" w:ascii="Times New Roman" w:hAnsi="Times New Roman" w:eastAsia="黑体"/>
          <w:bCs/>
          <w:sz w:val="32"/>
          <w:szCs w:val="30"/>
        </w:rPr>
        <w:t>第四章  展览、交流、转让</w:t>
      </w:r>
    </w:p>
    <w:p w14:paraId="74959932">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eastAsia="zh-Hans"/>
        </w:rPr>
        <w:t>二</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竞赛评审委员会将通过预审的一定比例的自然科学类学术论文、哲学社会科学类社会调查报告及全部科技发明制作类作品参加展览。科技发明制作类作品须有实物或模型参展。如必要，作品可附带实物或模型参展（须于参展前与主办方及承办高校说明）。</w:t>
      </w:r>
    </w:p>
    <w:p w14:paraId="1F8DE4C1">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eastAsia="zh-Hans"/>
        </w:rPr>
        <w:t>三</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竞赛组委会将在竞赛的决赛阶段组织多种形式的学术交流和工作交流活动，并适时举办单项展示赛或邀请赛等丰富“挑战杯”竞赛的活动。</w:t>
      </w:r>
    </w:p>
    <w:p w14:paraId="218D94C9">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val="en-US" w:eastAsia="zh-CN"/>
        </w:rPr>
        <w:t>四</w:t>
      </w:r>
      <w:r>
        <w:rPr>
          <w:rFonts w:hint="eastAsia" w:ascii="Times New Roman" w:hAnsi="Times New Roman" w:eastAsia="黑体"/>
          <w:sz w:val="32"/>
          <w:szCs w:val="30"/>
        </w:rPr>
        <w:t>条</w:t>
      </w:r>
      <w:r>
        <w:rPr>
          <w:rFonts w:ascii="Times New Roman" w:hAnsi="Times New Roman" w:eastAsia="仿宋_GB2312"/>
          <w:sz w:val="32"/>
          <w:szCs w:val="30"/>
        </w:rPr>
        <w:t xml:space="preserve">  </w:t>
      </w:r>
      <w:r>
        <w:rPr>
          <w:rFonts w:hint="eastAsia" w:ascii="Times New Roman" w:hAnsi="Times New Roman" w:eastAsia="仿宋_GB2312"/>
          <w:sz w:val="32"/>
          <w:szCs w:val="30"/>
        </w:rPr>
        <w:t>竞赛组织委员会在决赛期间，举办成果转让活动；成果是否转让不作为作品评审获奖的依据。</w:t>
      </w:r>
    </w:p>
    <w:p w14:paraId="4F91A03C">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val="en-US" w:eastAsia="zh-CN"/>
        </w:rPr>
        <w:t>五</w:t>
      </w:r>
      <w:r>
        <w:rPr>
          <w:rFonts w:hint="eastAsia" w:ascii="Times New Roman" w:hAnsi="Times New Roman" w:eastAsia="黑体"/>
          <w:sz w:val="32"/>
          <w:szCs w:val="30"/>
        </w:rPr>
        <w:t>条</w:t>
      </w:r>
      <w:r>
        <w:rPr>
          <w:rFonts w:ascii="Times New Roman" w:hAnsi="Times New Roman" w:eastAsia="仿宋_GB2312"/>
          <w:sz w:val="32"/>
          <w:szCs w:val="30"/>
        </w:rPr>
        <w:t xml:space="preserve">  </w:t>
      </w:r>
      <w:r>
        <w:rPr>
          <w:rFonts w:hint="eastAsia" w:ascii="Times New Roman" w:hAnsi="Times New Roman" w:eastAsia="仿宋_GB2312"/>
          <w:sz w:val="32"/>
          <w:szCs w:val="30"/>
        </w:rPr>
        <w:t>竞赛组织委员会拥有组织转让获奖作品的优先权。成果产权及利益分配由学校和作者协商确定。</w:t>
      </w:r>
    </w:p>
    <w:p w14:paraId="20BD0700">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val="en-US" w:eastAsia="zh-CN"/>
        </w:rPr>
        <w:t>六</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竞赛组织委员会可以结集出版竞赛获奖的作品及评委评语。</w:t>
      </w:r>
    </w:p>
    <w:p w14:paraId="0EC23F61">
      <w:pPr>
        <w:keepNext w:val="0"/>
        <w:keepLines w:val="0"/>
        <w:pageBreakBefore w:val="0"/>
        <w:kinsoku/>
        <w:wordWrap/>
        <w:overflowPunct/>
        <w:topLinePunct w:val="0"/>
        <w:autoSpaceDE/>
        <w:autoSpaceDN/>
        <w:bidi w:val="0"/>
        <w:spacing w:before="156" w:beforeLines="50" w:after="156" w:afterLines="50" w:line="560" w:lineRule="exact"/>
        <w:jc w:val="center"/>
        <w:rPr>
          <w:rFonts w:ascii="Times New Roman" w:hAnsi="Times New Roman" w:eastAsia="黑体"/>
          <w:sz w:val="32"/>
          <w:szCs w:val="30"/>
        </w:rPr>
      </w:pPr>
      <w:r>
        <w:rPr>
          <w:rFonts w:hint="eastAsia" w:ascii="Times New Roman" w:hAnsi="Times New Roman" w:eastAsia="黑体"/>
          <w:sz w:val="32"/>
          <w:szCs w:val="30"/>
        </w:rPr>
        <w:t>第五章  奖  励</w:t>
      </w:r>
    </w:p>
    <w:p w14:paraId="4D061E71">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val="en-US" w:eastAsia="zh-CN"/>
        </w:rPr>
        <w:t>七</w:t>
      </w:r>
      <w:r>
        <w:rPr>
          <w:rFonts w:hint="eastAsia" w:ascii="Times New Roman" w:hAnsi="Times New Roman" w:eastAsia="黑体"/>
          <w:sz w:val="32"/>
          <w:szCs w:val="30"/>
        </w:rPr>
        <w:t>条</w:t>
      </w:r>
      <w:r>
        <w:rPr>
          <w:rFonts w:hint="eastAsia" w:ascii="Times New Roman" w:hAnsi="Times New Roman" w:eastAsia="仿宋_GB2312"/>
          <w:color w:val="000000"/>
          <w:sz w:val="32"/>
          <w:szCs w:val="30"/>
        </w:rPr>
        <w:t xml:space="preserve">  </w:t>
      </w:r>
      <w:r>
        <w:rPr>
          <w:rFonts w:hint="eastAsia" w:ascii="Times New Roman" w:hAnsi="Times New Roman" w:eastAsia="仿宋_GB2312"/>
          <w:sz w:val="32"/>
          <w:szCs w:val="30"/>
        </w:rPr>
        <w:t>比赛将设特、一、二、三等奖，奖项比例分别为5</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、10</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、20</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w:t>
      </w:r>
      <w:r>
        <w:rPr>
          <w:rFonts w:ascii="Times New Roman" w:hAnsi="Times New Roman" w:eastAsia="仿宋_GB2312"/>
          <w:sz w:val="32"/>
          <w:szCs w:val="30"/>
        </w:rPr>
        <w:t>55</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rPr>
        <w:t>。自然科学类学术论文、哲学社会科学类社会调查报告、科技发明制作类分别按上述比例设奖，本专科生、硕士研究生两个学历层次作者的各等级作品获奖数与入围评审作品比例基本一致。</w:t>
      </w:r>
      <w:r>
        <w:rPr>
          <w:rFonts w:hint="eastAsia" w:ascii="Times New Roman" w:hAnsi="Times New Roman" w:eastAsia="仿宋_GB2312"/>
          <w:sz w:val="32"/>
          <w:szCs w:val="30"/>
          <w:lang w:eastAsia="zh-Hans"/>
        </w:rPr>
        <w:t>竞赛组委会对各高校报送的作品进行初审，评出报送作品中的35</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eastAsia="zh-Hans"/>
        </w:rPr>
        <w:t>左右进入终审决赛，55</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eastAsia="zh-Hans"/>
        </w:rPr>
        <w:t>左右获得三等奖</w:t>
      </w:r>
      <w:r>
        <w:rPr>
          <w:rFonts w:hint="eastAsia" w:ascii="Times New Roman" w:hAnsi="Times New Roman" w:eastAsia="仿宋_GB2312"/>
          <w:sz w:val="32"/>
          <w:szCs w:val="30"/>
          <w:lang w:eastAsia="zh-CN"/>
        </w:rPr>
        <w:t>。</w:t>
      </w:r>
      <w:r>
        <w:rPr>
          <w:rFonts w:hint="eastAsia" w:ascii="Times New Roman" w:hAnsi="Times New Roman" w:eastAsia="仿宋_GB2312"/>
          <w:sz w:val="32"/>
          <w:szCs w:val="30"/>
          <w:lang w:eastAsia="zh-Hans"/>
        </w:rPr>
        <w:t>在终审决赛中评出特等奖、一等奖、二等奖。同时</w:t>
      </w:r>
      <w:r>
        <w:rPr>
          <w:rFonts w:hint="eastAsia" w:ascii="Times New Roman" w:hAnsi="Times New Roman" w:eastAsia="仿宋_GB2312"/>
          <w:sz w:val="32"/>
          <w:szCs w:val="30"/>
        </w:rPr>
        <w:t>为激发学生参与基础学科、小众学科的热情，各分类小组原则上至少有1件特等奖和1件一等奖。竞赛组织委员会根据作品数量等确定各分类小组授奖数量。</w:t>
      </w:r>
    </w:p>
    <w:p w14:paraId="1E28DD18">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sz w:val="32"/>
          <w:szCs w:val="30"/>
        </w:rPr>
      </w:pPr>
      <w:r>
        <w:rPr>
          <w:rFonts w:hint="eastAsia" w:ascii="Times New Roman" w:hAnsi="Times New Roman" w:eastAsia="仿宋_GB2312"/>
          <w:sz w:val="32"/>
          <w:szCs w:val="30"/>
          <w:highlight w:val="none"/>
          <w:lang w:eastAsia="zh-CN"/>
        </w:rPr>
        <w:t>“</w:t>
      </w:r>
      <w:r>
        <w:rPr>
          <w:rFonts w:hint="eastAsia" w:ascii="Times New Roman" w:hAnsi="Times New Roman" w:eastAsia="仿宋_GB2312"/>
          <w:sz w:val="32"/>
          <w:szCs w:val="30"/>
          <w:highlight w:val="none"/>
          <w:lang w:val="en-US" w:eastAsia="zh-CN"/>
        </w:rPr>
        <w:t>人工智能+</w:t>
      </w:r>
      <w:r>
        <w:rPr>
          <w:rFonts w:hint="eastAsia" w:ascii="Times New Roman" w:hAnsi="Times New Roman" w:eastAsia="仿宋_GB2312"/>
          <w:sz w:val="32"/>
          <w:szCs w:val="30"/>
          <w:highlight w:val="none"/>
          <w:lang w:eastAsia="zh-CN"/>
        </w:rPr>
        <w:t>”</w:t>
      </w:r>
      <w:r>
        <w:rPr>
          <w:rFonts w:hint="eastAsia" w:ascii="Times New Roman" w:hAnsi="Times New Roman" w:eastAsia="仿宋_GB2312"/>
          <w:sz w:val="32"/>
          <w:szCs w:val="30"/>
          <w:highlight w:val="none"/>
        </w:rPr>
        <w:t>专项赛独立评审</w:t>
      </w:r>
      <w:r>
        <w:rPr>
          <w:rFonts w:hint="eastAsia" w:ascii="Times New Roman" w:hAnsi="Times New Roman" w:eastAsia="仿宋_GB2312"/>
          <w:sz w:val="32"/>
          <w:szCs w:val="30"/>
        </w:rPr>
        <w:t>，作品参照特等奖、一等奖、二等奖、三等奖的等次设置相应奖项。</w:t>
      </w:r>
    </w:p>
    <w:p w14:paraId="7ECAA359">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sz w:val="32"/>
          <w:szCs w:val="30"/>
          <w:lang w:eastAsia="zh-CN"/>
        </w:rPr>
      </w:pPr>
      <w:r>
        <w:rPr>
          <w:rFonts w:hint="eastAsia" w:ascii="Times New Roman" w:hAnsi="Times New Roman" w:eastAsia="仿宋_GB2312"/>
          <w:sz w:val="32"/>
          <w:szCs w:val="30"/>
        </w:rPr>
        <w:t>“揭榜挂帅”机制专项赛独立评审，每个选题作品评出特等奖、一等奖、二等奖、三等奖若干，获得特等奖的团队通过“擂台赛”原则上决出1个“擂主”。出题方与获奖团队兑现奖励</w:t>
      </w:r>
      <w:r>
        <w:rPr>
          <w:rFonts w:hint="eastAsia" w:eastAsia="仿宋_GB2312"/>
          <w:sz w:val="32"/>
          <w:szCs w:val="30"/>
          <w:lang w:eastAsia="zh-CN"/>
        </w:rPr>
        <w:t>。</w:t>
      </w:r>
    </w:p>
    <w:p w14:paraId="3EE9866B">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第二十</w:t>
      </w:r>
      <w:r>
        <w:rPr>
          <w:rFonts w:hint="eastAsia" w:ascii="Times New Roman" w:hAnsi="Times New Roman" w:eastAsia="黑体"/>
          <w:sz w:val="32"/>
          <w:szCs w:val="30"/>
          <w:lang w:val="en-US" w:eastAsia="zh-CN"/>
        </w:rPr>
        <w:t>八</w:t>
      </w:r>
      <w:r>
        <w:rPr>
          <w:rFonts w:hint="eastAsia" w:ascii="Times New Roman" w:hAnsi="Times New Roman" w:eastAsia="黑体"/>
          <w:sz w:val="32"/>
          <w:szCs w:val="30"/>
        </w:rPr>
        <w:t xml:space="preserve">条 </w:t>
      </w:r>
      <w:r>
        <w:rPr>
          <w:rFonts w:hint="eastAsia" w:ascii="Times New Roman" w:hAnsi="Times New Roman" w:eastAsia="仿宋_GB2312"/>
          <w:sz w:val="32"/>
          <w:szCs w:val="30"/>
        </w:rPr>
        <w:t xml:space="preserve"> 入围获奖的作品，确认资格有效的，由竞赛组织委员会向作者颁发证书（证书须体现作者和指导教师姓名）。</w:t>
      </w:r>
    </w:p>
    <w:p w14:paraId="1FD67EBB">
      <w:pPr>
        <w:keepNext w:val="0"/>
        <w:keepLines w:val="0"/>
        <w:pageBreakBefore w:val="0"/>
        <w:kinsoku/>
        <w:wordWrap/>
        <w:overflowPunct/>
        <w:topLinePunct w:val="0"/>
        <w:autoSpaceDE/>
        <w:autoSpaceDN/>
        <w:bidi w:val="0"/>
        <w:spacing w:line="560" w:lineRule="exact"/>
        <w:ind w:firstLine="600"/>
        <w:rPr>
          <w:rFonts w:ascii="Times New Roman" w:hAnsi="Times New Roman" w:eastAsia="仿宋_GB2312"/>
          <w:sz w:val="32"/>
          <w:szCs w:val="32"/>
        </w:rPr>
      </w:pPr>
      <w:r>
        <w:rPr>
          <w:rFonts w:hint="eastAsia" w:ascii="Times New Roman" w:hAnsi="Times New Roman" w:eastAsia="黑体"/>
          <w:sz w:val="32"/>
          <w:szCs w:val="30"/>
        </w:rPr>
        <w:t>第</w:t>
      </w:r>
      <w:r>
        <w:rPr>
          <w:rFonts w:hint="eastAsia" w:ascii="Times New Roman" w:hAnsi="Times New Roman" w:eastAsia="黑体"/>
          <w:sz w:val="32"/>
          <w:szCs w:val="30"/>
          <w:lang w:val="en-US" w:eastAsia="zh-CN"/>
        </w:rPr>
        <w:t>二十九</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w:t>
      </w:r>
      <w:r>
        <w:rPr>
          <w:rFonts w:hint="eastAsia" w:ascii="Times New Roman" w:hAnsi="Times New Roman" w:eastAsia="仿宋_GB2312"/>
          <w:sz w:val="32"/>
          <w:szCs w:val="32"/>
        </w:rPr>
        <w:t>本届首都“挑战杯”设立团体奖项，分为团体总分奖和优秀组织奖。团体总分奖以学校为单位计算参赛得分，团体总分按名次排列，按位次公布。团体总分第一名的学校获得“首都挑战杯”，第二至第二十名的学校获得“首都优胜杯”。</w:t>
      </w:r>
    </w:p>
    <w:p w14:paraId="6E626B14">
      <w:pPr>
        <w:keepNext w:val="0"/>
        <w:keepLines w:val="0"/>
        <w:pageBreakBefore w:val="0"/>
        <w:kinsoku/>
        <w:wordWrap/>
        <w:overflowPunct/>
        <w:topLinePunct w:val="0"/>
        <w:autoSpaceDE/>
        <w:autoSpaceDN/>
        <w:bidi w:val="0"/>
        <w:spacing w:line="560" w:lineRule="exact"/>
        <w:ind w:firstLine="600"/>
        <w:rPr>
          <w:rFonts w:hint="eastAsia" w:ascii="Times New Roman" w:hAnsi="Times New Roman" w:eastAsia="仿宋_GB2312"/>
          <w:sz w:val="32"/>
          <w:szCs w:val="32"/>
        </w:rPr>
      </w:pPr>
      <w:r>
        <w:rPr>
          <w:rFonts w:hint="eastAsia" w:ascii="Times New Roman" w:hAnsi="Times New Roman" w:eastAsia="黑体"/>
          <w:sz w:val="32"/>
          <w:szCs w:val="30"/>
          <w:lang w:eastAsia="zh-Hans"/>
        </w:rPr>
        <w:t>第三十条</w:t>
      </w:r>
      <w:r>
        <w:rPr>
          <w:rFonts w:ascii="Times New Roman" w:hAnsi="Times New Roman" w:eastAsia="仿宋_GB2312"/>
          <w:sz w:val="32"/>
          <w:szCs w:val="32"/>
          <w:lang w:eastAsia="zh-Hans"/>
        </w:rPr>
        <w:t xml:space="preserve">  </w:t>
      </w:r>
      <w:r>
        <w:rPr>
          <w:rFonts w:hint="eastAsia" w:ascii="Times New Roman" w:hAnsi="Times New Roman" w:eastAsia="仿宋_GB2312"/>
          <w:sz w:val="32"/>
          <w:szCs w:val="32"/>
        </w:rPr>
        <w:t>各等次奖计分方法如下：主体赛特等奖作品每件计100分，一等奖作品每件计70分，二等奖作品每件计40分，三等奖作品每件计20分。</w:t>
      </w:r>
      <w:r>
        <w:rPr>
          <w:rFonts w:hint="eastAsia" w:ascii="Times New Roman" w:hAnsi="Times New Roman" w:eastAsia="仿宋_GB2312" w:cs="仿宋_GB2312"/>
          <w:color w:val="auto"/>
          <w:sz w:val="32"/>
          <w:szCs w:val="32"/>
          <w:highlight w:val="none"/>
          <w:lang w:val="en-US" w:eastAsia="zh-CN" w:bidi="ar"/>
        </w:rPr>
        <w:t>专项赛不计入团体总分，</w:t>
      </w:r>
      <w:r>
        <w:rPr>
          <w:rFonts w:hint="eastAsia" w:ascii="Times New Roman" w:hAnsi="Times New Roman" w:eastAsia="仿宋_GB2312"/>
          <w:bCs/>
          <w:sz w:val="32"/>
          <w:szCs w:val="32"/>
          <w:highlight w:val="none"/>
        </w:rPr>
        <w:t>相关奖项和主赛道具有同等表彰效力，普通高校和职业院校不作区分。</w:t>
      </w:r>
    </w:p>
    <w:p w14:paraId="02C886D5">
      <w:pPr>
        <w:keepNext w:val="0"/>
        <w:keepLines w:val="0"/>
        <w:pageBreakBefore w:val="0"/>
        <w:kinsoku/>
        <w:wordWrap/>
        <w:overflowPunct/>
        <w:topLinePunct w:val="0"/>
        <w:autoSpaceDE/>
        <w:autoSpaceDN/>
        <w:bidi w:val="0"/>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如遇总积分相等，则以获主体赛特等奖的个数决定同一名次内的排序，以此类推至三等奖。</w:t>
      </w:r>
    </w:p>
    <w:p w14:paraId="61E94403">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lang w:eastAsia="zh-Hans"/>
        </w:rPr>
        <w:t>第三十一条</w:t>
      </w:r>
      <w:r>
        <w:rPr>
          <w:rFonts w:ascii="Times New Roman" w:hAnsi="Times New Roman" w:eastAsia="仿宋_GB2312"/>
          <w:sz w:val="32"/>
          <w:szCs w:val="30"/>
          <w:lang w:eastAsia="zh-Hans"/>
        </w:rPr>
        <w:t xml:space="preserve">  </w:t>
      </w:r>
      <w:r>
        <w:rPr>
          <w:rFonts w:hint="eastAsia" w:ascii="Times New Roman" w:hAnsi="Times New Roman" w:eastAsia="仿宋_GB2312"/>
          <w:sz w:val="32"/>
          <w:szCs w:val="30"/>
        </w:rPr>
        <w:t>竞赛设若干高校优秀组织奖，奖励在竞赛组织工作中表现突出的高校。高校优秀组织奖由主办单位评定。</w:t>
      </w:r>
    </w:p>
    <w:p w14:paraId="4CE30E7E">
      <w:pPr>
        <w:keepNext w:val="0"/>
        <w:keepLines w:val="0"/>
        <w:pageBreakBefore w:val="0"/>
        <w:kinsoku/>
        <w:wordWrap/>
        <w:overflowPunct/>
        <w:topLinePunct w:val="0"/>
        <w:autoSpaceDE/>
        <w:autoSpaceDN/>
        <w:bidi w:val="0"/>
        <w:spacing w:before="156" w:beforeLines="50" w:after="156" w:afterLines="50" w:line="560" w:lineRule="exact"/>
        <w:jc w:val="center"/>
        <w:rPr>
          <w:rFonts w:ascii="Times New Roman" w:hAnsi="Times New Roman" w:eastAsia="黑体"/>
          <w:bCs/>
          <w:sz w:val="32"/>
          <w:szCs w:val="30"/>
        </w:rPr>
      </w:pPr>
      <w:r>
        <w:rPr>
          <w:rFonts w:hint="eastAsia" w:ascii="Times New Roman" w:hAnsi="Times New Roman" w:eastAsia="黑体"/>
          <w:bCs/>
          <w:sz w:val="32"/>
          <w:szCs w:val="30"/>
        </w:rPr>
        <w:t>第六章  附  则</w:t>
      </w:r>
    </w:p>
    <w:p w14:paraId="15CC8F0C">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黑体"/>
          <w:sz w:val="32"/>
          <w:szCs w:val="30"/>
        </w:rPr>
      </w:pPr>
      <w:r>
        <w:rPr>
          <w:rFonts w:hint="eastAsia" w:ascii="Times New Roman" w:hAnsi="Times New Roman" w:eastAsia="黑体"/>
          <w:sz w:val="32"/>
          <w:szCs w:val="30"/>
        </w:rPr>
        <w:t>第</w:t>
      </w:r>
      <w:r>
        <w:rPr>
          <w:rFonts w:hint="eastAsia" w:ascii="Times New Roman" w:hAnsi="Times New Roman" w:eastAsia="黑体"/>
          <w:sz w:val="32"/>
          <w:szCs w:val="30"/>
          <w:lang w:eastAsia="zh-Hans"/>
        </w:rPr>
        <w:t>三十二</w:t>
      </w:r>
      <w:r>
        <w:rPr>
          <w:rFonts w:hint="eastAsia" w:ascii="Times New Roman" w:hAnsi="Times New Roman" w:eastAsia="黑体"/>
          <w:sz w:val="32"/>
          <w:szCs w:val="30"/>
        </w:rPr>
        <w:t>条</w:t>
      </w:r>
      <w:r>
        <w:rPr>
          <w:rFonts w:ascii="Times New Roman" w:hAnsi="Times New Roman" w:eastAsia="仿宋_GB2312"/>
          <w:sz w:val="32"/>
          <w:szCs w:val="30"/>
          <w:lang w:eastAsia="zh-Hans"/>
        </w:rPr>
        <w:t xml:space="preserve">  </w:t>
      </w:r>
      <w:r>
        <w:rPr>
          <w:rFonts w:hint="eastAsia" w:ascii="Times New Roman" w:hAnsi="Times New Roman" w:eastAsia="仿宋_GB2312" w:cs="Times New Roman"/>
          <w:sz w:val="32"/>
          <w:szCs w:val="32"/>
        </w:rPr>
        <w:t>参赛作品存在舞弊、抄袭、作假，使用AI工具代替撰写学术论文、调查报告，将国家课题、教师科研成果包装成学生项目的，均视为严重违规行为。</w:t>
      </w:r>
    </w:p>
    <w:p w14:paraId="3DAFDBBA">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第三十</w:t>
      </w:r>
      <w:r>
        <w:rPr>
          <w:rFonts w:hint="eastAsia" w:ascii="Times New Roman" w:hAnsi="Times New Roman" w:eastAsia="黑体"/>
          <w:sz w:val="32"/>
          <w:szCs w:val="30"/>
          <w:lang w:eastAsia="zh-Hans"/>
        </w:rPr>
        <w:t>三</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w:t>
      </w:r>
      <w:r>
        <w:rPr>
          <w:rFonts w:hint="eastAsia" w:ascii="Times New Roman" w:hAnsi="Times New Roman" w:eastAsia="仿宋_GB2312" w:cs="Times New Roman"/>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Pr>
          <w:rFonts w:hint="eastAsia" w:ascii="Times New Roman" w:hAnsi="Times New Roman" w:eastAsia="仿宋_GB2312"/>
          <w:sz w:val="32"/>
          <w:szCs w:val="30"/>
        </w:rPr>
        <w:t>首都</w:t>
      </w:r>
      <w:r>
        <w:rPr>
          <w:rFonts w:hint="eastAsia" w:ascii="Times New Roman" w:hAnsi="Times New Roman" w:eastAsia="仿宋_GB2312" w:cs="Times New Roman"/>
          <w:sz w:val="32"/>
          <w:szCs w:val="32"/>
        </w:rPr>
        <w:t>挑战杯”“</w:t>
      </w:r>
      <w:r>
        <w:rPr>
          <w:rFonts w:hint="eastAsia" w:ascii="Times New Roman" w:hAnsi="Times New Roman" w:eastAsia="仿宋_GB2312"/>
          <w:sz w:val="32"/>
          <w:szCs w:val="30"/>
        </w:rPr>
        <w:t>首都</w:t>
      </w:r>
      <w:r>
        <w:rPr>
          <w:rFonts w:hint="eastAsia" w:ascii="Times New Roman" w:hAnsi="Times New Roman" w:eastAsia="仿宋_GB2312" w:cs="Times New Roman"/>
          <w:sz w:val="32"/>
          <w:szCs w:val="32"/>
        </w:rPr>
        <w:t>优胜杯”或者其他集体奖项，视情节严重取消该学校下届联合发起单位资格或者参赛资格</w:t>
      </w:r>
      <w:r>
        <w:rPr>
          <w:rFonts w:hint="eastAsia" w:ascii="Times New Roman" w:hAnsi="Times New Roman" w:eastAsia="仿宋_GB2312"/>
          <w:sz w:val="32"/>
          <w:szCs w:val="30"/>
        </w:rPr>
        <w:t>。竞赛组委会保护投诉人的合法权益。</w:t>
      </w:r>
    </w:p>
    <w:p w14:paraId="1E8D5440">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第三十</w:t>
      </w:r>
      <w:r>
        <w:rPr>
          <w:rFonts w:hint="eastAsia" w:ascii="Times New Roman" w:hAnsi="Times New Roman" w:eastAsia="黑体"/>
          <w:sz w:val="32"/>
          <w:szCs w:val="30"/>
          <w:lang w:eastAsia="zh-Hans"/>
        </w:rPr>
        <w:t>四</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希望承办竞赛的高校应按当届组委会通过的申办办法，申请承办下一届竞赛活动；获得历届“首都挑战杯”的学校具有承办下届竞赛的优先权；当届组委会通过一定的民主程序产生下届承办单位。</w:t>
      </w:r>
    </w:p>
    <w:p w14:paraId="2EE5E162">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第三十</w:t>
      </w:r>
      <w:r>
        <w:rPr>
          <w:rFonts w:hint="eastAsia" w:ascii="Times New Roman" w:hAnsi="Times New Roman" w:eastAsia="黑体"/>
          <w:sz w:val="32"/>
          <w:szCs w:val="30"/>
          <w:lang w:eastAsia="zh-Hans"/>
        </w:rPr>
        <w:t>五</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竞赛承办单位有权以竞赛组织委员会名义寻求赞助。</w:t>
      </w:r>
    </w:p>
    <w:p w14:paraId="4404470A">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0"/>
        </w:rPr>
      </w:pPr>
      <w:r>
        <w:rPr>
          <w:rFonts w:hint="eastAsia" w:ascii="Times New Roman" w:hAnsi="Times New Roman" w:eastAsia="黑体"/>
          <w:sz w:val="32"/>
          <w:szCs w:val="30"/>
        </w:rPr>
        <w:t>第三十</w:t>
      </w:r>
      <w:r>
        <w:rPr>
          <w:rFonts w:hint="eastAsia" w:eastAsia="黑体"/>
          <w:sz w:val="32"/>
          <w:szCs w:val="30"/>
          <w:lang w:val="en-US" w:eastAsia="zh-CN"/>
        </w:rPr>
        <w:t>六</w:t>
      </w:r>
      <w:r>
        <w:rPr>
          <w:rFonts w:hint="eastAsia" w:ascii="Times New Roman" w:hAnsi="Times New Roman" w:eastAsia="黑体"/>
          <w:sz w:val="32"/>
          <w:szCs w:val="30"/>
        </w:rPr>
        <w:t>条</w:t>
      </w:r>
      <w:r>
        <w:rPr>
          <w:rFonts w:hint="eastAsia" w:ascii="Times New Roman" w:hAnsi="Times New Roman" w:eastAsia="仿宋_GB2312"/>
          <w:sz w:val="32"/>
          <w:szCs w:val="30"/>
        </w:rPr>
        <w:t xml:space="preserve">  本章程自竞赛组织委员会审议通过之日起生效，由竞赛主办单位及竞赛组委会秘书处负责解释。</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FZXiaoBiaoSong-B05S">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1"/>
        <w:szCs w:val="21"/>
      </w:rPr>
    </w:sdtEndPr>
    <w:sdtContent>
      <w:p w14:paraId="1C37D6CB">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ACAF19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8F"/>
    <w:rsid w:val="0002723E"/>
    <w:rsid w:val="00032E97"/>
    <w:rsid w:val="00037728"/>
    <w:rsid w:val="000468BA"/>
    <w:rsid w:val="00061DBD"/>
    <w:rsid w:val="00064714"/>
    <w:rsid w:val="00080F17"/>
    <w:rsid w:val="000B5DA5"/>
    <w:rsid w:val="00113625"/>
    <w:rsid w:val="00133B3A"/>
    <w:rsid w:val="00154B6A"/>
    <w:rsid w:val="0017201D"/>
    <w:rsid w:val="001732D8"/>
    <w:rsid w:val="001B7BFE"/>
    <w:rsid w:val="001C2FEF"/>
    <w:rsid w:val="001D3BD1"/>
    <w:rsid w:val="001F2219"/>
    <w:rsid w:val="00206A9F"/>
    <w:rsid w:val="00243509"/>
    <w:rsid w:val="002657D5"/>
    <w:rsid w:val="0027065D"/>
    <w:rsid w:val="00272C57"/>
    <w:rsid w:val="002773E8"/>
    <w:rsid w:val="002B39E9"/>
    <w:rsid w:val="002E4B4C"/>
    <w:rsid w:val="002F1581"/>
    <w:rsid w:val="002F5982"/>
    <w:rsid w:val="00312CA9"/>
    <w:rsid w:val="00330172"/>
    <w:rsid w:val="003569D2"/>
    <w:rsid w:val="00374ECD"/>
    <w:rsid w:val="0038061B"/>
    <w:rsid w:val="0039611B"/>
    <w:rsid w:val="003B2A1D"/>
    <w:rsid w:val="003C578C"/>
    <w:rsid w:val="003E0CCF"/>
    <w:rsid w:val="00404093"/>
    <w:rsid w:val="00426E82"/>
    <w:rsid w:val="004609B0"/>
    <w:rsid w:val="0047312F"/>
    <w:rsid w:val="00476398"/>
    <w:rsid w:val="00476A68"/>
    <w:rsid w:val="0047737C"/>
    <w:rsid w:val="00481788"/>
    <w:rsid w:val="00484345"/>
    <w:rsid w:val="0049205F"/>
    <w:rsid w:val="004E42E7"/>
    <w:rsid w:val="004F33E7"/>
    <w:rsid w:val="00516B3A"/>
    <w:rsid w:val="00527E6B"/>
    <w:rsid w:val="0054281A"/>
    <w:rsid w:val="00551D1F"/>
    <w:rsid w:val="00567919"/>
    <w:rsid w:val="00592B15"/>
    <w:rsid w:val="00595622"/>
    <w:rsid w:val="005A3597"/>
    <w:rsid w:val="005B55A2"/>
    <w:rsid w:val="005C5EE8"/>
    <w:rsid w:val="005E2066"/>
    <w:rsid w:val="006123CB"/>
    <w:rsid w:val="0061485F"/>
    <w:rsid w:val="006155D2"/>
    <w:rsid w:val="006353D9"/>
    <w:rsid w:val="00642E28"/>
    <w:rsid w:val="00695A11"/>
    <w:rsid w:val="006C16C2"/>
    <w:rsid w:val="006C70B2"/>
    <w:rsid w:val="006D239C"/>
    <w:rsid w:val="006F4681"/>
    <w:rsid w:val="006F5437"/>
    <w:rsid w:val="00777B61"/>
    <w:rsid w:val="00794203"/>
    <w:rsid w:val="00797D59"/>
    <w:rsid w:val="007B3CA4"/>
    <w:rsid w:val="007C0111"/>
    <w:rsid w:val="007C51FC"/>
    <w:rsid w:val="007E0529"/>
    <w:rsid w:val="007E16BA"/>
    <w:rsid w:val="007E7307"/>
    <w:rsid w:val="00811CD4"/>
    <w:rsid w:val="0081273C"/>
    <w:rsid w:val="00842CEC"/>
    <w:rsid w:val="00855C16"/>
    <w:rsid w:val="00855D7C"/>
    <w:rsid w:val="0088589A"/>
    <w:rsid w:val="008903F2"/>
    <w:rsid w:val="008F2F65"/>
    <w:rsid w:val="00924508"/>
    <w:rsid w:val="00957003"/>
    <w:rsid w:val="00966357"/>
    <w:rsid w:val="00971A8A"/>
    <w:rsid w:val="0098163D"/>
    <w:rsid w:val="009A6417"/>
    <w:rsid w:val="009A6F33"/>
    <w:rsid w:val="009C04A9"/>
    <w:rsid w:val="00A05AAD"/>
    <w:rsid w:val="00A11BB3"/>
    <w:rsid w:val="00A44A2E"/>
    <w:rsid w:val="00A82306"/>
    <w:rsid w:val="00A8416A"/>
    <w:rsid w:val="00A85612"/>
    <w:rsid w:val="00A97F86"/>
    <w:rsid w:val="00AA25C6"/>
    <w:rsid w:val="00AB3D42"/>
    <w:rsid w:val="00B02447"/>
    <w:rsid w:val="00B414A2"/>
    <w:rsid w:val="00B6108F"/>
    <w:rsid w:val="00B71CD3"/>
    <w:rsid w:val="00B80E3C"/>
    <w:rsid w:val="00B84FAE"/>
    <w:rsid w:val="00BB59A1"/>
    <w:rsid w:val="00BB71D7"/>
    <w:rsid w:val="00C301DE"/>
    <w:rsid w:val="00C32D07"/>
    <w:rsid w:val="00C357CA"/>
    <w:rsid w:val="00C66865"/>
    <w:rsid w:val="00C8340E"/>
    <w:rsid w:val="00C955FE"/>
    <w:rsid w:val="00C95A06"/>
    <w:rsid w:val="00CA6BB5"/>
    <w:rsid w:val="00CB30F6"/>
    <w:rsid w:val="00CD1E8F"/>
    <w:rsid w:val="00CF7619"/>
    <w:rsid w:val="00D02D5C"/>
    <w:rsid w:val="00D34C36"/>
    <w:rsid w:val="00D64C6C"/>
    <w:rsid w:val="00D71869"/>
    <w:rsid w:val="00DC20FB"/>
    <w:rsid w:val="00DE57CE"/>
    <w:rsid w:val="00E0201D"/>
    <w:rsid w:val="00E03422"/>
    <w:rsid w:val="00E34712"/>
    <w:rsid w:val="00E43CAB"/>
    <w:rsid w:val="00E537A9"/>
    <w:rsid w:val="00E80708"/>
    <w:rsid w:val="00EA4E4C"/>
    <w:rsid w:val="00EB1729"/>
    <w:rsid w:val="00EC2A56"/>
    <w:rsid w:val="00EE062C"/>
    <w:rsid w:val="00EE1700"/>
    <w:rsid w:val="00EE659C"/>
    <w:rsid w:val="00F33682"/>
    <w:rsid w:val="00F43FB5"/>
    <w:rsid w:val="00F56A48"/>
    <w:rsid w:val="00F639B7"/>
    <w:rsid w:val="00F665F8"/>
    <w:rsid w:val="00F7250A"/>
    <w:rsid w:val="00F725CA"/>
    <w:rsid w:val="00FA6ECF"/>
    <w:rsid w:val="00FB00C9"/>
    <w:rsid w:val="00FC55C7"/>
    <w:rsid w:val="00FE2A38"/>
    <w:rsid w:val="00FF5636"/>
    <w:rsid w:val="0379144A"/>
    <w:rsid w:val="07AB06CC"/>
    <w:rsid w:val="0EC97EC7"/>
    <w:rsid w:val="16E50422"/>
    <w:rsid w:val="1D402138"/>
    <w:rsid w:val="2487365B"/>
    <w:rsid w:val="280A1E56"/>
    <w:rsid w:val="373E4044"/>
    <w:rsid w:val="3FFF9242"/>
    <w:rsid w:val="44FC5977"/>
    <w:rsid w:val="5DCA3FDA"/>
    <w:rsid w:val="65A74DCE"/>
    <w:rsid w:val="700E5B5F"/>
    <w:rsid w:val="C79BC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qFormat/>
    <w:uiPriority w:val="0"/>
    <w:rPr>
      <w:kern w:val="2"/>
      <w:sz w:val="18"/>
      <w:szCs w:val="18"/>
    </w:rPr>
  </w:style>
  <w:style w:type="character" w:customStyle="1" w:styleId="10">
    <w:name w:val="样式4 Char"/>
    <w:link w:val="11"/>
    <w:qFormat/>
    <w:uiPriority w:val="0"/>
    <w:rPr>
      <w:rFonts w:hint="eastAsia" w:ascii="Times New Roman" w:hAnsi="Times New Roman" w:eastAsia="楷体_GB2312" w:cs="楷体_GB2312"/>
      <w:color w:val="C00000"/>
      <w:sz w:val="32"/>
      <w:szCs w:val="32"/>
      <w:u w:val="single"/>
      <w:lang w:eastAsia="zh-CN"/>
    </w:rPr>
  </w:style>
  <w:style w:type="paragraph" w:customStyle="1" w:styleId="11">
    <w:name w:val="样式4"/>
    <w:basedOn w:val="1"/>
    <w:link w:val="10"/>
    <w:qFormat/>
    <w:uiPriority w:val="0"/>
    <w:pPr>
      <w:kinsoku/>
      <w:autoSpaceDE/>
      <w:autoSpaceDN/>
      <w:spacing w:line="560" w:lineRule="exact"/>
      <w:jc w:val="both"/>
    </w:pPr>
    <w:rPr>
      <w:rFonts w:hint="eastAsia" w:ascii="Times New Roman" w:hAnsi="Times New Roman" w:eastAsia="楷体_GB2312" w:cs="楷体_GB2312"/>
      <w:color w:val="C00000"/>
      <w:sz w:val="32"/>
      <w:szCs w:val="32"/>
      <w:u w:val="single"/>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9</Pages>
  <Words>4413</Words>
  <Characters>4436</Characters>
  <Lines>32</Lines>
  <Paragraphs>9</Paragraphs>
  <TotalTime>1</TotalTime>
  <ScaleCrop>false</ScaleCrop>
  <LinksUpToDate>false</LinksUpToDate>
  <CharactersWithSpaces>4545</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2022-09-15T18:44:00Z</dcterms:created>
  <dc:creator>深度完美技术论坛</dc:creator>
  <cp:lastModifiedBy>钾离子</cp:lastModifiedBy>
  <cp:lastPrinted>2025-01-24T15:37:00Z</cp:lastPrinted>
  <dcterms:modified xsi:type="dcterms:W3CDTF">2025-03-20T12:39:27Z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KSOTemplateDocerSaveRecord">
    <vt:lpwstr>eyJoZGlkIjoiZjNlZGUyODNlNDlhOWE1NGZjZGQ5MGY0N2FiNzM3OTYiLCJ1c2VySWQiOiIyNjEwMTU4ODMifQ==</vt:lpwstr>
  </property>
  <property fmtid="{D5CDD505-2E9C-101B-9397-08002B2CF9AE}" pid="4" name="ICV">
    <vt:lpwstr>B01F4E09C1094E46B3115E52BB690ED7_12</vt:lpwstr>
  </property>
</Properties>
</file>